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ascii="仿宋" w:hAnsi="仿宋" w:eastAsia="仿宋" w:cs="仿宋"/>
          <w:b/>
          <w:bCs/>
          <w:sz w:val="32"/>
          <w:szCs w:val="32"/>
          <w:shd w:val="clear" w:color="auto" w:fill="FFFFFF"/>
        </w:rPr>
      </w:pPr>
      <w:r>
        <w:rPr>
          <w:rFonts w:ascii="仿宋" w:hAnsi="仿宋" w:eastAsia="仿宋" w:cs="仿宋"/>
          <w:b/>
          <w:bCs/>
          <w:sz w:val="32"/>
          <w:szCs w:val="32"/>
          <w:shd w:val="clear" w:color="auto" w:fill="FFFFFF"/>
        </w:rPr>
        <w:t>关于</w:t>
      </w:r>
      <w:r>
        <w:rPr>
          <w:rFonts w:hint="eastAsia" w:ascii="仿宋" w:hAnsi="仿宋" w:eastAsia="仿宋" w:cs="仿宋"/>
          <w:b/>
          <w:bCs/>
          <w:sz w:val="32"/>
          <w:szCs w:val="32"/>
          <w:shd w:val="clear" w:color="auto" w:fill="FFFFFF"/>
        </w:rPr>
        <w:t>2020年度预算绩效情况的说明</w:t>
      </w:r>
    </w:p>
    <w:p>
      <w:pPr>
        <w:widowControl/>
        <w:shd w:val="clear" w:color="auto" w:fill="FFFFFF"/>
        <w:spacing w:before="120" w:line="432" w:lineRule="atLeast"/>
        <w:ind w:firstLine="640"/>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本部门预算绩效管理开展情况、绩效目标和绩效评价报告等……（按照财政绩效部门要求已公开或其他有关部门要求需随同部门决算一同公开的绩效信息，请作为附件公开）</w:t>
      </w:r>
    </w:p>
    <w:p>
      <w:pPr>
        <w:widowControl/>
        <w:shd w:val="clear" w:color="auto" w:fill="FFFFFF"/>
        <w:spacing w:before="120" w:line="432" w:lineRule="atLeast"/>
        <w:jc w:val="center"/>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bidi="ar"/>
        </w:rPr>
        <w:t>2020年度部门整体支出绩效评价报告</w:t>
      </w:r>
    </w:p>
    <w:p>
      <w:pPr>
        <w:ind w:firstLine="643" w:firstLineChars="200"/>
        <w:rPr>
          <w:rFonts w:ascii="仿宋" w:hAnsi="仿宋" w:eastAsia="仿宋" w:cs="微软雅黑"/>
          <w:sz w:val="32"/>
          <w:szCs w:val="32"/>
        </w:rPr>
      </w:pPr>
      <w:r>
        <w:rPr>
          <w:rFonts w:hint="eastAsia" w:ascii="仿宋" w:hAnsi="仿宋" w:eastAsia="仿宋" w:cs="Times New Roman"/>
          <w:b/>
          <w:bCs/>
          <w:color w:val="000000"/>
          <w:sz w:val="32"/>
          <w:szCs w:val="32"/>
        </w:rPr>
        <w:t>一、部门基本情况</w:t>
      </w:r>
    </w:p>
    <w:p>
      <w:pPr>
        <w:ind w:firstLine="643" w:firstLineChars="200"/>
        <w:rPr>
          <w:rFonts w:ascii="仿宋" w:hAnsi="仿宋" w:eastAsia="仿宋" w:cs="Times New Roman"/>
          <w:b/>
          <w:sz w:val="32"/>
          <w:szCs w:val="32"/>
        </w:rPr>
      </w:pPr>
      <w:bookmarkStart w:id="0" w:name="YS060102"/>
      <w:bookmarkEnd w:id="0"/>
      <w:r>
        <w:rPr>
          <w:rFonts w:hint="eastAsia" w:ascii="仿宋" w:hAnsi="仿宋" w:eastAsia="仿宋" w:cs="Times New Roman"/>
          <w:b/>
          <w:sz w:val="32"/>
          <w:szCs w:val="32"/>
        </w:rPr>
        <w:t>1．主要职能</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负责组织指导辖区内业主委员会开展自治工作，保护业主和消费者的合法权益;负责湘北市场经营者的思想工作和法制教育，教育和引导市场经营者依法依规文明经营;协调并配合有关部门作好市场综治维稳、经营者维权、交通秩序管理等工作 。            </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2.机构情况</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本单位未内设股室。</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3．人员情况</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核定市湘北市场管理办公室全额预算事业编制4名，2020年末职工人数3人，其中事业编制3人。</w:t>
      </w:r>
    </w:p>
    <w:p>
      <w:pPr>
        <w:ind w:firstLine="643" w:firstLineChars="200"/>
        <w:rPr>
          <w:rFonts w:ascii="仿宋" w:hAnsi="仿宋" w:eastAsia="仿宋" w:cs="Times New Roman"/>
          <w:sz w:val="32"/>
          <w:szCs w:val="32"/>
        </w:rPr>
      </w:pPr>
      <w:r>
        <w:rPr>
          <w:rFonts w:hint="eastAsia" w:ascii="仿宋" w:hAnsi="仿宋" w:eastAsia="仿宋" w:cs="Times New Roman"/>
          <w:b/>
          <w:bCs/>
          <w:color w:val="000000"/>
          <w:sz w:val="32"/>
          <w:szCs w:val="32"/>
        </w:rPr>
        <w:t>二、部门整体支出使用情况</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（一）基本支出</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1、2020年支出预算27.14 万元。其中工资福利支出</w:t>
      </w:r>
      <w:r>
        <w:rPr>
          <w:rFonts w:hint="eastAsia" w:ascii="仿宋" w:hAnsi="仿宋" w:eastAsia="仿宋" w:cs="宋体"/>
          <w:color w:val="000000"/>
          <w:kern w:val="0"/>
          <w:sz w:val="32"/>
          <w:szCs w:val="32"/>
        </w:rPr>
        <w:t>24.14</w:t>
      </w:r>
      <w:r>
        <w:rPr>
          <w:rFonts w:hint="eastAsia" w:ascii="仿宋" w:hAnsi="仿宋" w:eastAsia="仿宋" w:cs="Times New Roman"/>
          <w:sz w:val="32"/>
          <w:szCs w:val="32"/>
        </w:rPr>
        <w:t xml:space="preserve"> 万元，一般商品和服务支出3万元。基本支出主要用于维持基本运转而发生的各项支出，包括用于基本工资、津贴补贴、社会保障缴费等人员性经费和办公费、印刷费、差旅费、等日常公用经费等支出。</w:t>
      </w:r>
    </w:p>
    <w:p>
      <w:pPr>
        <w:ind w:firstLine="600"/>
        <w:rPr>
          <w:rFonts w:ascii="仿宋" w:hAnsi="仿宋" w:eastAsia="仿宋" w:cs="Times New Roman"/>
          <w:sz w:val="32"/>
          <w:szCs w:val="32"/>
        </w:rPr>
      </w:pPr>
      <w:r>
        <w:rPr>
          <w:rFonts w:hint="eastAsia" w:ascii="仿宋" w:hAnsi="仿宋" w:eastAsia="仿宋" w:cs="Times New Roman"/>
          <w:bCs/>
          <w:color w:val="000000"/>
          <w:sz w:val="32"/>
          <w:szCs w:val="32"/>
        </w:rPr>
        <w:t>2、“</w:t>
      </w:r>
      <w:r>
        <w:rPr>
          <w:rFonts w:hint="eastAsia" w:ascii="仿宋" w:hAnsi="仿宋" w:eastAsia="仿宋" w:cs="Times New Roman"/>
          <w:sz w:val="32"/>
          <w:szCs w:val="32"/>
        </w:rPr>
        <w:t>三公</w:t>
      </w:r>
      <w:r>
        <w:rPr>
          <w:rFonts w:hint="eastAsia" w:ascii="仿宋" w:hAnsi="仿宋" w:eastAsia="仿宋" w:cs="Times New Roman"/>
          <w:bCs/>
          <w:color w:val="000000"/>
          <w:sz w:val="32"/>
          <w:szCs w:val="32"/>
        </w:rPr>
        <w:t>”</w:t>
      </w:r>
      <w:r>
        <w:rPr>
          <w:rFonts w:hint="eastAsia" w:ascii="仿宋" w:hAnsi="仿宋" w:eastAsia="仿宋" w:cs="Times New Roman"/>
          <w:sz w:val="32"/>
          <w:szCs w:val="32"/>
        </w:rPr>
        <w:t>经费支出情况：2020年公务接待费用0.3万元，</w:t>
      </w:r>
      <w:r>
        <w:rPr>
          <w:rFonts w:hint="eastAsia" w:ascii="仿宋" w:hAnsi="仿宋" w:eastAsia="仿宋" w:cs="宋体"/>
          <w:color w:val="000000"/>
          <w:kern w:val="0"/>
          <w:sz w:val="32"/>
          <w:szCs w:val="32"/>
        </w:rPr>
        <w:t>与上年持平。</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（二）项目支出</w:t>
      </w:r>
    </w:p>
    <w:p>
      <w:pPr>
        <w:widowControl/>
        <w:shd w:val="clear" w:color="auto" w:fill="FFFFFF"/>
        <w:spacing w:line="560" w:lineRule="atLeast"/>
        <w:ind w:firstLine="640" w:firstLineChars="200"/>
        <w:rPr>
          <w:rFonts w:ascii="仿宋" w:hAnsi="仿宋" w:eastAsia="仿宋" w:cs="宋体"/>
          <w:color w:val="000000"/>
          <w:kern w:val="0"/>
          <w:sz w:val="32"/>
          <w:szCs w:val="32"/>
        </w:rPr>
      </w:pPr>
      <w:r>
        <w:rPr>
          <w:rFonts w:hint="eastAsia" w:ascii="新宋体" w:hAnsi="新宋体" w:eastAsia="仿宋" w:cs="Times New Roman"/>
          <w:sz w:val="32"/>
          <w:szCs w:val="32"/>
        </w:rPr>
        <w:t xml:space="preserve">  </w:t>
      </w:r>
      <w:r>
        <w:rPr>
          <w:rFonts w:hint="eastAsia" w:ascii="仿宋" w:hAnsi="仿宋" w:eastAsia="仿宋" w:cs="宋体"/>
          <w:color w:val="000000"/>
          <w:kern w:val="0"/>
          <w:sz w:val="32"/>
          <w:szCs w:val="32"/>
        </w:rPr>
        <w:t>项目支出45.86万元，其中:商品服务项目支出34.66万元，市场预测整治方面支出11.2万元。</w:t>
      </w:r>
    </w:p>
    <w:p>
      <w:pPr>
        <w:ind w:firstLine="643" w:firstLineChars="200"/>
        <w:rPr>
          <w:rFonts w:ascii="仿宋" w:hAnsi="仿宋" w:eastAsia="仿宋" w:cs="Times New Roman"/>
          <w:sz w:val="32"/>
          <w:szCs w:val="32"/>
        </w:rPr>
      </w:pPr>
      <w:r>
        <w:rPr>
          <w:rFonts w:hint="eastAsia" w:ascii="仿宋" w:hAnsi="仿宋" w:eastAsia="仿宋" w:cs="Times New Roman"/>
          <w:b/>
          <w:bCs/>
          <w:color w:val="000000"/>
          <w:sz w:val="32"/>
          <w:szCs w:val="32"/>
        </w:rPr>
        <w:t>三、部门整体支出管理情况</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总的来说，我办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度。年度计划、重大支出等重大事项均经过班子集体讨论决定。</w:t>
      </w:r>
    </w:p>
    <w:p>
      <w:pPr>
        <w:ind w:firstLine="643" w:firstLineChars="200"/>
        <w:rPr>
          <w:rFonts w:ascii="仿宋" w:hAnsi="仿宋" w:eastAsia="仿宋" w:cs="Times New Roman"/>
          <w:sz w:val="32"/>
          <w:szCs w:val="32"/>
        </w:rPr>
      </w:pPr>
      <w:r>
        <w:rPr>
          <w:rFonts w:hint="eastAsia" w:ascii="仿宋" w:hAnsi="仿宋" w:eastAsia="仿宋" w:cs="Times New Roman"/>
          <w:b/>
          <w:bCs/>
          <w:color w:val="000000"/>
          <w:sz w:val="32"/>
          <w:szCs w:val="32"/>
        </w:rPr>
        <w:t>四、部门整体支出绩效情况</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根据市财政局要求，我办以绩效评估为契机，认真对照评估指标，按照年度工作计划扎实推进2020年度财政支出绩效自评工作。总的来说，2020年全体干职工积极履职、扎实工作，较好完成了全年工作目标。</w:t>
      </w:r>
    </w:p>
    <w:p>
      <w:pPr>
        <w:ind w:firstLine="643" w:firstLineChars="200"/>
        <w:rPr>
          <w:rFonts w:ascii="仿宋" w:hAnsi="仿宋" w:eastAsia="仿宋" w:cs="Times New Roman"/>
          <w:sz w:val="32"/>
          <w:szCs w:val="32"/>
        </w:rPr>
      </w:pPr>
      <w:r>
        <w:rPr>
          <w:rFonts w:hint="eastAsia" w:ascii="仿宋" w:hAnsi="仿宋" w:eastAsia="仿宋" w:cs="Times New Roman"/>
          <w:b/>
          <w:bCs/>
          <w:color w:val="000000"/>
          <w:sz w:val="32"/>
          <w:szCs w:val="32"/>
        </w:rPr>
        <w:t>1、切实加强班子及骨干学习，提高综合素质</w:t>
      </w:r>
    </w:p>
    <w:p>
      <w:pPr>
        <w:ind w:firstLine="480" w:firstLineChars="150"/>
        <w:rPr>
          <w:rFonts w:ascii="仿宋" w:hAnsi="仿宋" w:eastAsia="仿宋" w:cs="Times New Roman"/>
          <w:sz w:val="32"/>
          <w:szCs w:val="32"/>
        </w:rPr>
      </w:pPr>
      <w:r>
        <w:rPr>
          <w:rFonts w:hint="eastAsia" w:ascii="仿宋" w:hAnsi="仿宋" w:eastAsia="仿宋" w:cs="Times New Roman"/>
          <w:sz w:val="32"/>
          <w:szCs w:val="32"/>
        </w:rPr>
        <w:t>（一）强化政治理论学习。通过集中学习和自学等形式，认真学习了党的十九大会议精神，习近平</w:t>
      </w:r>
      <w:bookmarkStart w:id="1" w:name="_GoBack"/>
      <w:bookmarkEnd w:id="1"/>
      <w:r>
        <w:rPr>
          <w:rFonts w:hint="eastAsia" w:ascii="仿宋" w:hAnsi="仿宋" w:eastAsia="仿宋" w:cs="Times New Roman"/>
          <w:sz w:val="32"/>
          <w:szCs w:val="32"/>
        </w:rPr>
        <w:t>总书记系列重要讲话精神，增强了工作的主动性、预见性和贯彻落实党的各项方针政策的自觉性，坚定了为人民群众服好务的信心和决心。</w:t>
      </w:r>
    </w:p>
    <w:p>
      <w:pPr>
        <w:rPr>
          <w:rFonts w:ascii="仿宋" w:hAnsi="仿宋" w:eastAsia="仿宋" w:cs="Times New Roman"/>
          <w:sz w:val="32"/>
          <w:szCs w:val="32"/>
        </w:rPr>
      </w:pPr>
      <w:r>
        <w:rPr>
          <w:rFonts w:hint="eastAsia" w:ascii="仿宋" w:hAnsi="仿宋" w:eastAsia="仿宋" w:cs="Times New Roman"/>
          <w:sz w:val="32"/>
          <w:szCs w:val="32"/>
        </w:rPr>
        <w:t>（二）注重业务、管理和相关法律法规等知识的学习，促进了自身思想水平和工作技能的提高，提高了解决、处理复杂问题的能力，提升了依法行政、科学行政水平。</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b/>
          <w:bCs/>
          <w:color w:val="000000"/>
          <w:sz w:val="32"/>
          <w:szCs w:val="32"/>
        </w:rPr>
        <w:t>、真抓实干，注重实效，促进城市管理事业不断提升</w:t>
      </w:r>
    </w:p>
    <w:p>
      <w:pPr>
        <w:rPr>
          <w:rFonts w:ascii="仿宋" w:hAnsi="仿宋" w:eastAsia="仿宋" w:cs="Times New Roman"/>
          <w:sz w:val="32"/>
          <w:szCs w:val="32"/>
        </w:rPr>
      </w:pPr>
      <w:r>
        <w:rPr>
          <w:rFonts w:hint="eastAsia" w:ascii="新宋体" w:hAnsi="新宋体" w:eastAsia="仿宋" w:cs="Times New Roman"/>
          <w:sz w:val="32"/>
          <w:szCs w:val="32"/>
        </w:rPr>
        <w:t>  </w:t>
      </w:r>
      <w:r>
        <w:rPr>
          <w:rFonts w:hint="eastAsia" w:ascii="仿宋" w:hAnsi="仿宋" w:eastAsia="仿宋" w:cs="Times New Roman"/>
          <w:sz w:val="32"/>
          <w:szCs w:val="32"/>
        </w:rPr>
        <w:t>（一）夯实基础，创新举措，市容秩序质量稳定提升</w:t>
      </w:r>
    </w:p>
    <w:p>
      <w:pPr>
        <w:rPr>
          <w:rFonts w:ascii="仿宋" w:hAnsi="仿宋" w:eastAsia="仿宋" w:cs="Times New Roman"/>
          <w:sz w:val="32"/>
          <w:szCs w:val="32"/>
        </w:rPr>
      </w:pPr>
      <w:r>
        <w:rPr>
          <w:rFonts w:hint="eastAsia" w:ascii="仿宋" w:hAnsi="仿宋" w:eastAsia="仿宋" w:cs="Times New Roman"/>
          <w:sz w:val="32"/>
          <w:szCs w:val="32"/>
        </w:rPr>
        <w:t>加强督查考核，建立日常督查与定期考核机制，实行精细化管理，严格按照制度的有关规定，奖优罚劣，促使城区环境质量稳定提升。</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（二）超前谋划，精心部署，有计划的逐步更新设施设备、淘汰落后。</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（三）加大了宣传力度，及时处理反馈信息，为民服务质量提升。</w:t>
      </w:r>
    </w:p>
    <w:p>
      <w:pPr>
        <w:ind w:firstLine="643" w:firstLineChars="200"/>
        <w:rPr>
          <w:rFonts w:ascii="仿宋" w:hAnsi="仿宋" w:eastAsia="仿宋" w:cs="Times New Roman"/>
          <w:sz w:val="32"/>
          <w:szCs w:val="32"/>
        </w:rPr>
      </w:pPr>
      <w:r>
        <w:rPr>
          <w:rFonts w:hint="eastAsia" w:ascii="仿宋" w:hAnsi="仿宋" w:eastAsia="仿宋" w:cs="Times New Roman"/>
          <w:b/>
          <w:bCs/>
          <w:color w:val="000000"/>
          <w:sz w:val="32"/>
          <w:szCs w:val="32"/>
        </w:rPr>
        <w:t>3、政工人事工作稳步推进，成绩显著</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扎实推进人事制度改革，不断完善干部职工人事信息，使干部职工人事档案管理工作规范化。依据人事部门的相关文件，制定岗位设定方案，及时调整干职工岗位晋升、技术职称考核合格人员的薪级工资。依照支部决议，制定绩效考核制度，请假制度等，规范并严格作风建设。</w:t>
      </w:r>
    </w:p>
    <w:p>
      <w:pPr>
        <w:ind w:firstLine="643" w:firstLineChars="200"/>
        <w:rPr>
          <w:rFonts w:ascii="仿宋" w:hAnsi="仿宋" w:eastAsia="仿宋" w:cs="Times New Roman"/>
          <w:sz w:val="32"/>
          <w:szCs w:val="32"/>
        </w:rPr>
      </w:pPr>
      <w:r>
        <w:rPr>
          <w:rFonts w:hint="eastAsia" w:ascii="仿宋" w:hAnsi="仿宋" w:eastAsia="仿宋" w:cs="Times New Roman"/>
          <w:b/>
          <w:bCs/>
          <w:color w:val="000000"/>
          <w:sz w:val="32"/>
          <w:szCs w:val="32"/>
        </w:rPr>
        <w:t>4、以人为本，工会活动聚人心</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工会工作在市总工会的正确领导和我办工会的全力支持下，积极转变角色，以服务广大干职工为宗旨，组织职工参加丰富多彩的职工文体活动。传统节假日，工会委员不辞劳苦，为我办干职工发放慰问物资。</w:t>
      </w:r>
    </w:p>
    <w:p>
      <w:pPr>
        <w:ind w:firstLine="643" w:firstLineChars="200"/>
        <w:rPr>
          <w:rFonts w:ascii="仿宋" w:hAnsi="仿宋" w:eastAsia="仿宋" w:cs="Times New Roman"/>
          <w:sz w:val="32"/>
          <w:szCs w:val="32"/>
        </w:rPr>
      </w:pPr>
      <w:r>
        <w:rPr>
          <w:rFonts w:hint="eastAsia" w:ascii="仿宋" w:hAnsi="仿宋" w:eastAsia="仿宋" w:cs="Times New Roman"/>
          <w:b/>
          <w:bCs/>
          <w:color w:val="000000"/>
          <w:sz w:val="32"/>
          <w:szCs w:val="32"/>
        </w:rPr>
        <w:t>5、立足岗位抓党建促生产，党建工作有声有色</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在局党组的领导下，坚持以邓小平理论和“三个代表”重要思想为指导，深入贯彻落实科学发展观，贯彻落实党的十九大精神，坚持“立足岗位抓党建促生产”指导思想，积极开展“两学一做”学习教育，严抓党建工作，紧紧围绕中心工作，以加强基层组织建设为抓手，以创建学习型党组织、努力实现整体素质新提高，不断加强党的思想、组织、作风、制度建设和反腐倡廉建设，充分发挥党支部的战斗堡垒作用和党员的先锋模范作用，城市管理、队伍建设和其他各项工作得到不断提升。</w:t>
      </w:r>
    </w:p>
    <w:p>
      <w:pPr>
        <w:ind w:firstLine="643" w:firstLineChars="200"/>
        <w:rPr>
          <w:rFonts w:ascii="仿宋" w:hAnsi="仿宋" w:eastAsia="仿宋" w:cs="Times New Roman"/>
          <w:sz w:val="32"/>
          <w:szCs w:val="32"/>
        </w:rPr>
      </w:pPr>
      <w:r>
        <w:rPr>
          <w:rFonts w:hint="eastAsia" w:ascii="仿宋" w:hAnsi="仿宋" w:eastAsia="仿宋" w:cs="Times New Roman"/>
          <w:b/>
          <w:bCs/>
          <w:color w:val="000000"/>
          <w:sz w:val="32"/>
          <w:szCs w:val="32"/>
        </w:rPr>
        <w:t>五、部门整体支出绩效评价指标分析及有关建议</w:t>
      </w:r>
      <w:r>
        <w:rPr>
          <w:rFonts w:hint="eastAsia" w:ascii="新宋体" w:hAnsi="新宋体" w:eastAsia="仿宋" w:cs="Times New Roman"/>
          <w:b/>
          <w:bCs/>
          <w:color w:val="000000"/>
          <w:sz w:val="32"/>
          <w:szCs w:val="32"/>
        </w:rPr>
        <w:t> </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通过认真对照《2020年部门整体支出绩效评价指标表》开展自评，我办在“投入”、“过程”、“产出”、“效果”等方面都执行较好，自评得分8分。扣分的原因主要是：资金预算编制不够细化，部分项目管理不到位，公益性和创新性项目比例较低，社会公众满意度一般等。</w:t>
      </w:r>
    </w:p>
    <w:p>
      <w:pPr>
        <w:ind w:firstLine="643" w:firstLineChars="200"/>
        <w:rPr>
          <w:rFonts w:ascii="仿宋" w:hAnsi="仿宋" w:eastAsia="仿宋" w:cs="Times New Roman"/>
          <w:b/>
          <w:sz w:val="32"/>
          <w:szCs w:val="32"/>
        </w:rPr>
      </w:pPr>
      <w:r>
        <w:rPr>
          <w:rFonts w:hint="eastAsia" w:ascii="仿宋" w:hAnsi="仿宋" w:eastAsia="仿宋" w:cs="Times New Roman"/>
          <w:b/>
          <w:sz w:val="32"/>
          <w:szCs w:val="32"/>
        </w:rPr>
        <w:t>建议：</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1、进一步完善、明确和细化各项费用支出管理制度，严格各项费用使用。</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2、加强固定资产的管理，配置专管部门和专管人员，建立固定资产卡片，切实做到账卡相符、账物相符。</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3、加强内部管理，增强有效控制力。</w:t>
      </w:r>
    </w:p>
    <w:p>
      <w:pPr>
        <w:ind w:firstLine="640" w:firstLineChars="200"/>
        <w:jc w:val="left"/>
        <w:rPr>
          <w:rFonts w:ascii="仿宋" w:hAnsi="宋体" w:eastAsia="仿宋" w:cs="宋体"/>
          <w:color w:val="0000FF"/>
          <w:kern w:val="0"/>
          <w:sz w:val="32"/>
          <w:szCs w:val="22"/>
          <w:u w:val="single"/>
        </w:rPr>
      </w:pPr>
      <w:r>
        <w:rPr>
          <w:rFonts w:hint="eastAsia" w:ascii="仿宋" w:hAnsi="宋体" w:eastAsia="仿宋" w:cs="宋体"/>
          <w:color w:val="333333"/>
          <w:kern w:val="0"/>
          <w:sz w:val="32"/>
          <w:szCs w:val="32"/>
        </w:rPr>
        <w:t>附件：</w:t>
      </w:r>
      <w:r>
        <w:fldChar w:fldCharType="begin"/>
      </w:r>
      <w:r>
        <w:instrText xml:space="preserve"> HYPERLINK "http://www.yzsczj.gov.cn/UploadFiles/ysgk/2017/1/2016%E5%B9%B4%E6%B0%B8%E5%B7%9E%E5%B8%82%E9%87%91%E8%9E%8D%E5%8A%9E%E6%95%B4%E4%BD%93%E6%94%AF%E5%87%BA%E7%BB%A9%E6%95%88%E8%AF%84%E4%BB%B7%E6%8C%87%E6%A0%87%E8%A1%A8.doc" </w:instrText>
      </w:r>
      <w:r>
        <w:fldChar w:fldCharType="separate"/>
      </w:r>
      <w:r>
        <w:rPr>
          <w:rFonts w:hint="eastAsia" w:ascii="仿宋" w:hAnsi="宋体" w:eastAsia="仿宋" w:cs="宋体"/>
          <w:color w:val="0000FF"/>
          <w:kern w:val="0"/>
          <w:sz w:val="32"/>
          <w:szCs w:val="22"/>
          <w:u w:val="single"/>
        </w:rPr>
        <w:t>部门整体支出绩效评价指标表</w:t>
      </w:r>
      <w:r>
        <w:rPr>
          <w:rFonts w:hint="eastAsia" w:ascii="仿宋" w:hAnsi="宋体" w:eastAsia="仿宋" w:cs="宋体"/>
          <w:color w:val="0000FF"/>
          <w:kern w:val="0"/>
          <w:sz w:val="32"/>
          <w:szCs w:val="22"/>
          <w:u w:val="single"/>
        </w:rPr>
        <w:fldChar w:fldCharType="end"/>
      </w: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黑体" w:eastAsia="黑体" w:cs="Times New Roman"/>
          <w:kern w:val="0"/>
          <w:sz w:val="32"/>
          <w:szCs w:val="32"/>
        </w:rPr>
      </w:pPr>
    </w:p>
    <w:p>
      <w:pPr>
        <w:spacing w:line="460" w:lineRule="exact"/>
        <w:rPr>
          <w:rFonts w:ascii="Times New Roman" w:hAnsi="Calibri" w:eastAsia="黑体" w:cs="Times New Roman"/>
          <w:sz w:val="32"/>
          <w:szCs w:val="32"/>
        </w:rPr>
      </w:pPr>
      <w:r>
        <w:rPr>
          <w:rFonts w:ascii="Times New Roman" w:hAnsi="黑体" w:eastAsia="黑体" w:cs="Times New Roman"/>
          <w:kern w:val="0"/>
          <w:sz w:val="32"/>
          <w:szCs w:val="32"/>
        </w:rPr>
        <w:t>附件</w:t>
      </w:r>
      <w:r>
        <w:rPr>
          <w:rFonts w:ascii="Times New Roman" w:hAnsi="Calibri" w:eastAsia="黑体" w:cs="Times New Roman"/>
          <w:kern w:val="0"/>
          <w:sz w:val="32"/>
          <w:szCs w:val="32"/>
        </w:rPr>
        <w:t>1</w:t>
      </w:r>
      <w:r>
        <w:rPr>
          <w:rFonts w:ascii="Times New Roman" w:hAnsi="黑体" w:eastAsia="黑体" w:cs="Times New Roman"/>
          <w:sz w:val="32"/>
          <w:szCs w:val="32"/>
        </w:rPr>
        <w:t>：</w:t>
      </w:r>
    </w:p>
    <w:p>
      <w:pPr>
        <w:spacing w:line="480" w:lineRule="exact"/>
        <w:jc w:val="center"/>
        <w:rPr>
          <w:rFonts w:hint="eastAsia" w:ascii="Times New Roman" w:hAnsi="Calibri" w:eastAsia="方正小标宋简体" w:cs="Times New Roman"/>
          <w:bCs/>
          <w:kern w:val="0"/>
          <w:sz w:val="44"/>
          <w:szCs w:val="44"/>
          <w:lang w:eastAsia="zh-CN"/>
        </w:rPr>
      </w:pPr>
      <w:r>
        <w:rPr>
          <w:rFonts w:ascii="Times New Roman" w:hAnsi="Calibri" w:eastAsia="方正小标宋简体" w:cs="Times New Roman"/>
          <w:bCs/>
          <w:kern w:val="0"/>
          <w:sz w:val="44"/>
          <w:szCs w:val="44"/>
        </w:rPr>
        <w:t>部门整体支出绩效目标申报表</w:t>
      </w:r>
    </w:p>
    <w:p>
      <w:pPr>
        <w:spacing w:line="480" w:lineRule="exact"/>
        <w:jc w:val="center"/>
        <w:rPr>
          <w:rFonts w:ascii="Times New Roman" w:hAnsi="Calibri" w:eastAsia="宋体" w:cs="Times New Roman"/>
          <w:bCs/>
          <w:kern w:val="0"/>
          <w:sz w:val="24"/>
          <w:szCs w:val="22"/>
        </w:rPr>
      </w:pPr>
      <w:r>
        <w:rPr>
          <w:rFonts w:ascii="Times New Roman" w:hAnsi="宋体" w:eastAsia="宋体" w:cs="Times New Roman"/>
          <w:kern w:val="0"/>
          <w:sz w:val="24"/>
          <w:szCs w:val="22"/>
        </w:rPr>
        <w:t>（</w:t>
      </w:r>
      <w:r>
        <w:rPr>
          <w:rFonts w:ascii="Times New Roman" w:hAnsi="Calibri" w:eastAsia="宋体" w:cs="Times New Roman"/>
          <w:kern w:val="0"/>
          <w:sz w:val="24"/>
          <w:szCs w:val="22"/>
          <w:u w:val="single"/>
        </w:rPr>
        <w:t xml:space="preserve">   </w:t>
      </w:r>
      <w:r>
        <w:rPr>
          <w:rFonts w:hint="eastAsia" w:ascii="Times New Roman" w:hAnsi="Calibri" w:eastAsia="宋体" w:cs="Times New Roman"/>
          <w:kern w:val="0"/>
          <w:sz w:val="24"/>
          <w:szCs w:val="22"/>
          <w:u w:val="single"/>
        </w:rPr>
        <w:t>2020</w:t>
      </w:r>
      <w:r>
        <w:rPr>
          <w:rFonts w:ascii="Times New Roman" w:hAnsi="Calibri" w:eastAsia="宋体" w:cs="Times New Roman"/>
          <w:kern w:val="0"/>
          <w:sz w:val="24"/>
          <w:szCs w:val="22"/>
          <w:u w:val="single"/>
        </w:rPr>
        <w:t xml:space="preserve"> </w:t>
      </w:r>
      <w:r>
        <w:rPr>
          <w:rFonts w:hint="eastAsia" w:ascii="楷体_GB2312" w:hAnsi="宋体" w:eastAsia="楷体_GB2312" w:cs="Times New Roman"/>
          <w:kern w:val="0"/>
          <w:sz w:val="24"/>
          <w:szCs w:val="22"/>
        </w:rPr>
        <w:t>年度</w:t>
      </w:r>
      <w:r>
        <w:rPr>
          <w:rFonts w:ascii="Times New Roman" w:hAnsi="宋体" w:eastAsia="宋体" w:cs="Times New Roman"/>
          <w:kern w:val="0"/>
          <w:sz w:val="24"/>
          <w:szCs w:val="22"/>
        </w:rPr>
        <w:t>）</w:t>
      </w:r>
    </w:p>
    <w:p>
      <w:pPr>
        <w:rPr>
          <w:rFonts w:ascii="Times New Roman" w:hAnsi="Calibri" w:eastAsia="黑体" w:cs="Times New Roman"/>
          <w:bCs/>
          <w:kern w:val="0"/>
          <w:sz w:val="24"/>
          <w:szCs w:val="22"/>
        </w:rPr>
      </w:pPr>
      <w:r>
        <w:rPr>
          <w:rFonts w:ascii="Times New Roman" w:hAnsi="黑体" w:eastAsia="黑体" w:cs="Times New Roman"/>
          <w:kern w:val="0"/>
          <w:sz w:val="24"/>
          <w:szCs w:val="22"/>
        </w:rPr>
        <w:t>填报单位（盖章）</w:t>
      </w:r>
      <w:r>
        <w:rPr>
          <w:rFonts w:ascii="Times New Roman" w:hAnsi="Calibri" w:eastAsia="黑体" w:cs="Times New Roman"/>
          <w:kern w:val="0"/>
          <w:sz w:val="24"/>
          <w:szCs w:val="22"/>
        </w:rPr>
        <w:tab/>
      </w:r>
      <w:r>
        <w:rPr>
          <w:rFonts w:ascii="Times New Roman" w:hAnsi="Calibri" w:eastAsia="黑体" w:cs="Times New Roman"/>
          <w:kern w:val="0"/>
          <w:sz w:val="24"/>
          <w:szCs w:val="22"/>
        </w:rPr>
        <w:t xml:space="preserve">                                      </w:t>
      </w:r>
      <w:r>
        <w:rPr>
          <w:rFonts w:ascii="Times New Roman" w:hAnsi="黑体" w:eastAsia="黑体" w:cs="Times New Roman"/>
          <w:kern w:val="0"/>
          <w:sz w:val="24"/>
          <w:szCs w:val="22"/>
        </w:rPr>
        <w:t>金额单位：</w:t>
      </w:r>
      <w:r>
        <w:rPr>
          <w:rFonts w:hint="eastAsia" w:ascii="Times New Roman" w:hAnsi="黑体" w:eastAsia="黑体" w:cs="Times New Roman"/>
          <w:kern w:val="0"/>
          <w:sz w:val="24"/>
          <w:szCs w:val="22"/>
        </w:rPr>
        <w:t>千元</w:t>
      </w:r>
    </w:p>
    <w:tbl>
      <w:tblPr>
        <w:tblStyle w:val="4"/>
        <w:tblW w:w="96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323"/>
        <w:gridCol w:w="2052"/>
        <w:gridCol w:w="33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93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部门名称</w:t>
            </w:r>
          </w:p>
        </w:tc>
        <w:tc>
          <w:tcPr>
            <w:tcW w:w="774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Cs w:val="21"/>
              </w:rPr>
            </w:pPr>
            <w:r>
              <w:rPr>
                <w:rFonts w:hint="eastAsia" w:ascii="Times New Roman" w:hAnsi="Calibri" w:eastAsia="宋体" w:cs="Times New Roman"/>
                <w:kern w:val="0"/>
                <w:szCs w:val="21"/>
              </w:rPr>
              <w:t>沅江市湘北市场管理办公室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Times New Roman" w:hAnsi="宋体" w:eastAsia="宋体" w:cs="Times New Roman"/>
                <w:kern w:val="0"/>
                <w:szCs w:val="21"/>
                <w:lang w:eastAsia="zh-CN"/>
              </w:rPr>
            </w:pPr>
            <w:r>
              <w:rPr>
                <w:rFonts w:ascii="Times New Roman" w:hAnsi="宋体" w:eastAsia="宋体" w:cs="Times New Roman"/>
                <w:kern w:val="0"/>
                <w:szCs w:val="21"/>
              </w:rPr>
              <w:t>年度预算申请</w:t>
            </w:r>
          </w:p>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w:t>
            </w:r>
            <w:r>
              <w:rPr>
                <w:rFonts w:hint="eastAsia" w:ascii="Times New Roman" w:hAnsi="宋体" w:eastAsia="宋体" w:cs="Times New Roman"/>
                <w:kern w:val="0"/>
                <w:szCs w:val="21"/>
              </w:rPr>
              <w:t>千</w:t>
            </w:r>
            <w:r>
              <w:rPr>
                <w:rFonts w:ascii="Times New Roman" w:hAnsi="宋体" w:eastAsia="宋体" w:cs="Times New Roman"/>
                <w:kern w:val="0"/>
                <w:szCs w:val="21"/>
              </w:rPr>
              <w:t>元）</w:t>
            </w:r>
          </w:p>
        </w:tc>
        <w:tc>
          <w:tcPr>
            <w:tcW w:w="774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Times New Roman" w:hAnsi="Calibri" w:eastAsia="宋体" w:cs="Times New Roman"/>
                <w:kern w:val="0"/>
                <w:szCs w:val="21"/>
              </w:rPr>
            </w:pPr>
            <w:r>
              <w:rPr>
                <w:rFonts w:ascii="Times New Roman" w:hAnsi="宋体" w:eastAsia="宋体" w:cs="Times New Roman"/>
                <w:kern w:val="0"/>
                <w:szCs w:val="21"/>
              </w:rPr>
              <w:t>资金总额：</w:t>
            </w:r>
            <w:r>
              <w:rPr>
                <w:rFonts w:hint="eastAsia" w:ascii="Times New Roman" w:hAnsi="宋体" w:eastAsia="宋体" w:cs="Times New Roman"/>
                <w:kern w:val="0"/>
                <w:szCs w:val="21"/>
              </w:rPr>
              <w:t>383.4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tcBorders>
              <w:top w:val="single" w:color="auto" w:sz="4" w:space="0"/>
              <w:left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p>
        </w:tc>
        <w:tc>
          <w:tcPr>
            <w:tcW w:w="4375" w:type="dxa"/>
            <w:gridSpan w:val="2"/>
            <w:tcBorders>
              <w:top w:val="single" w:color="auto" w:sz="4" w:space="0"/>
              <w:bottom w:val="single" w:color="auto" w:sz="4" w:space="0"/>
            </w:tcBorders>
            <w:vAlign w:val="center"/>
          </w:tcPr>
          <w:p>
            <w:pPr>
              <w:widowControl/>
              <w:spacing w:line="360" w:lineRule="exact"/>
              <w:rPr>
                <w:rFonts w:ascii="Times New Roman" w:hAnsi="Calibri" w:eastAsia="宋体" w:cs="Times New Roman"/>
                <w:kern w:val="0"/>
                <w:szCs w:val="21"/>
              </w:rPr>
            </w:pPr>
            <w:r>
              <w:rPr>
                <w:rFonts w:ascii="Times New Roman" w:hAnsi="宋体" w:eastAsia="宋体" w:cs="Times New Roman"/>
                <w:kern w:val="0"/>
                <w:szCs w:val="21"/>
              </w:rPr>
              <w:t>按收入性质分：</w:t>
            </w:r>
          </w:p>
        </w:tc>
        <w:tc>
          <w:tcPr>
            <w:tcW w:w="3366" w:type="dxa"/>
            <w:tcBorders>
              <w:top w:val="single" w:color="auto" w:sz="4" w:space="0"/>
              <w:bottom w:val="single" w:color="auto" w:sz="4" w:space="0"/>
              <w:right w:val="single" w:color="auto" w:sz="4" w:space="0"/>
            </w:tcBorders>
            <w:vAlign w:val="center"/>
          </w:tcPr>
          <w:p>
            <w:pPr>
              <w:widowControl/>
              <w:spacing w:line="360" w:lineRule="exact"/>
              <w:rPr>
                <w:rFonts w:ascii="Times New Roman" w:hAnsi="Calibri" w:eastAsia="宋体" w:cs="Times New Roman"/>
                <w:kern w:val="0"/>
                <w:szCs w:val="21"/>
              </w:rPr>
            </w:pPr>
            <w:r>
              <w:rPr>
                <w:rFonts w:ascii="Times New Roman" w:hAnsi="宋体" w:eastAsia="宋体" w:cs="Times New Roman"/>
                <w:kern w:val="0"/>
                <w:szCs w:val="21"/>
              </w:rPr>
              <w:t>按支出性质分：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tcBorders>
              <w:top w:val="single" w:color="auto" w:sz="4" w:space="0"/>
              <w:left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p>
        </w:tc>
        <w:tc>
          <w:tcPr>
            <w:tcW w:w="4375" w:type="dxa"/>
            <w:gridSpan w:val="2"/>
            <w:tcBorders>
              <w:top w:val="single" w:color="auto" w:sz="4" w:space="0"/>
              <w:bottom w:val="single" w:color="auto" w:sz="4" w:space="0"/>
            </w:tcBorders>
            <w:vAlign w:val="center"/>
          </w:tcPr>
          <w:p>
            <w:pPr>
              <w:widowControl/>
              <w:spacing w:line="360" w:lineRule="exact"/>
              <w:ind w:firstLine="105" w:firstLineChars="50"/>
              <w:rPr>
                <w:rFonts w:ascii="Times New Roman" w:hAnsi="Calibri" w:eastAsia="宋体" w:cs="Times New Roman"/>
                <w:kern w:val="0"/>
                <w:szCs w:val="21"/>
              </w:rPr>
            </w:pPr>
            <w:r>
              <w:rPr>
                <w:rFonts w:ascii="Times New Roman" w:hAnsi="宋体" w:eastAsia="宋体" w:cs="Times New Roman"/>
                <w:kern w:val="0"/>
                <w:szCs w:val="21"/>
              </w:rPr>
              <w:t>其中：公共财政拨款：</w:t>
            </w:r>
            <w:r>
              <w:rPr>
                <w:rFonts w:hint="eastAsia" w:ascii="Times New Roman" w:hAnsi="宋体" w:eastAsia="宋体" w:cs="Times New Roman"/>
                <w:kern w:val="0"/>
                <w:szCs w:val="21"/>
              </w:rPr>
              <w:t>383.4</w:t>
            </w:r>
          </w:p>
        </w:tc>
        <w:tc>
          <w:tcPr>
            <w:tcW w:w="3366" w:type="dxa"/>
            <w:tcBorders>
              <w:top w:val="single" w:color="auto" w:sz="4" w:space="0"/>
              <w:bottom w:val="single" w:color="auto" w:sz="4" w:space="0"/>
              <w:right w:val="single" w:color="auto" w:sz="4" w:space="0"/>
            </w:tcBorders>
            <w:vAlign w:val="center"/>
          </w:tcPr>
          <w:p>
            <w:pPr>
              <w:widowControl/>
              <w:spacing w:line="360" w:lineRule="exact"/>
              <w:rPr>
                <w:rFonts w:ascii="Times New Roman" w:hAnsi="Calibri" w:eastAsia="宋体" w:cs="Times New Roman"/>
                <w:kern w:val="0"/>
                <w:szCs w:val="21"/>
              </w:rPr>
            </w:pPr>
            <w:r>
              <w:rPr>
                <w:rFonts w:ascii="Times New Roman" w:hAnsi="宋体" w:eastAsia="宋体" w:cs="Times New Roman"/>
                <w:kern w:val="0"/>
                <w:szCs w:val="21"/>
              </w:rPr>
              <w:t>其中：基本支出：</w:t>
            </w:r>
            <w:r>
              <w:rPr>
                <w:rFonts w:hint="eastAsia" w:ascii="Times New Roman" w:hAnsi="宋体" w:eastAsia="宋体" w:cs="Times New Roman"/>
                <w:kern w:val="0"/>
                <w:szCs w:val="21"/>
              </w:rPr>
              <w:t>271.4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tcBorders>
              <w:top w:val="single" w:color="auto" w:sz="4" w:space="0"/>
              <w:left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p>
        </w:tc>
        <w:tc>
          <w:tcPr>
            <w:tcW w:w="4375" w:type="dxa"/>
            <w:gridSpan w:val="2"/>
            <w:tcBorders>
              <w:top w:val="single" w:color="auto" w:sz="4" w:space="0"/>
              <w:bottom w:val="single" w:color="auto" w:sz="4" w:space="0"/>
            </w:tcBorders>
            <w:vAlign w:val="center"/>
          </w:tcPr>
          <w:p>
            <w:pPr>
              <w:widowControl/>
              <w:spacing w:line="360" w:lineRule="exact"/>
              <w:ind w:firstLine="735" w:firstLineChars="350"/>
              <w:rPr>
                <w:rFonts w:ascii="Times New Roman" w:hAnsi="Calibri" w:eastAsia="宋体" w:cs="Times New Roman"/>
                <w:kern w:val="0"/>
                <w:szCs w:val="21"/>
              </w:rPr>
            </w:pPr>
            <w:r>
              <w:rPr>
                <w:rFonts w:ascii="Times New Roman" w:hAnsi="宋体" w:eastAsia="宋体" w:cs="Times New Roman"/>
                <w:kern w:val="0"/>
                <w:szCs w:val="21"/>
              </w:rPr>
              <w:t>政府性基金拨款：</w:t>
            </w:r>
          </w:p>
        </w:tc>
        <w:tc>
          <w:tcPr>
            <w:tcW w:w="3366" w:type="dxa"/>
            <w:tcBorders>
              <w:top w:val="single" w:color="auto" w:sz="4" w:space="0"/>
              <w:bottom w:val="single" w:color="auto" w:sz="4" w:space="0"/>
              <w:right w:val="single" w:color="auto" w:sz="4" w:space="0"/>
            </w:tcBorders>
            <w:vAlign w:val="center"/>
          </w:tcPr>
          <w:p>
            <w:pPr>
              <w:widowControl/>
              <w:spacing w:line="360" w:lineRule="exact"/>
              <w:ind w:firstLine="630" w:firstLineChars="300"/>
              <w:rPr>
                <w:rFonts w:ascii="Times New Roman" w:hAnsi="Calibri" w:eastAsia="宋体" w:cs="Times New Roman"/>
                <w:kern w:val="0"/>
                <w:szCs w:val="21"/>
              </w:rPr>
            </w:pPr>
            <w:r>
              <w:rPr>
                <w:rFonts w:ascii="Times New Roman" w:hAnsi="宋体" w:eastAsia="宋体" w:cs="Times New Roman"/>
                <w:kern w:val="0"/>
                <w:szCs w:val="21"/>
              </w:rPr>
              <w:t>项目支出：</w:t>
            </w:r>
            <w:r>
              <w:rPr>
                <w:rFonts w:hint="eastAsia" w:ascii="Times New Roman" w:hAnsi="宋体" w:eastAsia="宋体" w:cs="Times New Roman"/>
                <w:kern w:val="0"/>
                <w:szCs w:val="21"/>
              </w:rPr>
              <w:t>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31" w:type="dxa"/>
            <w:vMerge w:val="continue"/>
            <w:tcBorders>
              <w:top w:val="single" w:color="auto" w:sz="4" w:space="0"/>
              <w:left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p>
        </w:tc>
        <w:tc>
          <w:tcPr>
            <w:tcW w:w="4375" w:type="dxa"/>
            <w:gridSpan w:val="2"/>
            <w:tcBorders>
              <w:top w:val="single" w:color="auto" w:sz="4" w:space="0"/>
              <w:bottom w:val="single" w:color="auto" w:sz="4" w:space="0"/>
            </w:tcBorders>
            <w:vAlign w:val="center"/>
          </w:tcPr>
          <w:p>
            <w:pPr>
              <w:widowControl/>
              <w:spacing w:line="360" w:lineRule="exact"/>
              <w:rPr>
                <w:rFonts w:ascii="Times New Roman" w:hAnsi="Calibri" w:eastAsia="宋体" w:cs="Times New Roman"/>
                <w:kern w:val="0"/>
                <w:szCs w:val="21"/>
              </w:rPr>
            </w:pPr>
            <w:r>
              <w:rPr>
                <w:rFonts w:ascii="Times New Roman" w:hAnsi="宋体" w:eastAsia="宋体" w:cs="Times New Roman"/>
                <w:kern w:val="0"/>
                <w:szCs w:val="21"/>
              </w:rPr>
              <w:t>纳入专户管理的非税收入拨款：</w:t>
            </w:r>
            <w:r>
              <w:rPr>
                <w:rFonts w:hint="eastAsia" w:ascii="Times New Roman" w:hAnsi="宋体" w:eastAsia="宋体" w:cs="Times New Roman"/>
                <w:kern w:val="0"/>
                <w:szCs w:val="21"/>
              </w:rPr>
              <w:t>0</w:t>
            </w:r>
          </w:p>
        </w:tc>
        <w:tc>
          <w:tcPr>
            <w:tcW w:w="3366" w:type="dxa"/>
            <w:tcBorders>
              <w:top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1931" w:type="dxa"/>
            <w:vMerge w:val="continue"/>
            <w:tcBorders>
              <w:top w:val="single" w:color="auto" w:sz="4" w:space="0"/>
              <w:left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p>
        </w:tc>
        <w:tc>
          <w:tcPr>
            <w:tcW w:w="4375" w:type="dxa"/>
            <w:gridSpan w:val="2"/>
            <w:tcBorders>
              <w:top w:val="single" w:color="auto" w:sz="4" w:space="0"/>
              <w:bottom w:val="single" w:color="auto" w:sz="4" w:space="0"/>
            </w:tcBorders>
            <w:vAlign w:val="center"/>
          </w:tcPr>
          <w:p>
            <w:pPr>
              <w:widowControl/>
              <w:spacing w:line="360" w:lineRule="exact"/>
              <w:rPr>
                <w:rFonts w:ascii="Times New Roman" w:hAnsi="Calibri" w:eastAsia="宋体" w:cs="Times New Roman"/>
                <w:kern w:val="0"/>
                <w:szCs w:val="21"/>
              </w:rPr>
            </w:pPr>
            <w:r>
              <w:rPr>
                <w:rFonts w:ascii="Times New Roman" w:hAnsi="宋体" w:eastAsia="宋体" w:cs="Times New Roman"/>
                <w:kern w:val="0"/>
                <w:szCs w:val="21"/>
              </w:rPr>
              <w:t>其他资金：</w:t>
            </w:r>
          </w:p>
        </w:tc>
        <w:tc>
          <w:tcPr>
            <w:tcW w:w="3366" w:type="dxa"/>
            <w:tcBorders>
              <w:top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93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部门职能</w:t>
            </w:r>
          </w:p>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职责概述</w:t>
            </w:r>
          </w:p>
        </w:tc>
        <w:tc>
          <w:tcPr>
            <w:tcW w:w="7741"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240" w:lineRule="exact"/>
              <w:ind w:firstLine="210" w:firstLineChars="100"/>
              <w:jc w:val="left"/>
              <w:rPr>
                <w:rFonts w:ascii="宋体" w:hAnsi="宋体" w:eastAsia="宋体" w:cs="Times New Roman"/>
                <w:color w:val="000000"/>
                <w:kern w:val="0"/>
                <w:szCs w:val="21"/>
              </w:rPr>
            </w:pPr>
            <w:r>
              <w:rPr>
                <w:rFonts w:hint="eastAsia" w:ascii="Times New Roman" w:hAnsi="宋体" w:eastAsia="宋体" w:cs="Times New Roman"/>
                <w:kern w:val="0"/>
                <w:szCs w:val="21"/>
              </w:rPr>
              <w:t>负责组织指导辖区内业主委员会开展自治工作，保护业主和消费者的合法权益;负责湘北市场经营者的思想工作和法制教育，教育和引导市场经营者依法依规文明经营;协调并配合有关部门作好市场综治维稳、经营者维权、交通秩序管理等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3" w:hRule="exact"/>
          <w:jc w:val="center"/>
        </w:trPr>
        <w:tc>
          <w:tcPr>
            <w:tcW w:w="193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整体绩效目标</w:t>
            </w:r>
          </w:p>
        </w:tc>
        <w:tc>
          <w:tcPr>
            <w:tcW w:w="774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hint="eastAsia" w:ascii="Times New Roman" w:hAnsi="宋体" w:eastAsia="宋体" w:cs="Times New Roman"/>
                <w:kern w:val="0"/>
                <w:szCs w:val="21"/>
                <w:lang w:eastAsia="zh-CN"/>
              </w:rPr>
            </w:pPr>
            <w:r>
              <w:rPr>
                <w:rFonts w:ascii="Times New Roman" w:hAnsi="宋体" w:eastAsia="宋体" w:cs="Times New Roman"/>
                <w:kern w:val="0"/>
                <w:szCs w:val="21"/>
              </w:rPr>
              <w:t>目标</w:t>
            </w:r>
            <w:r>
              <w:rPr>
                <w:rFonts w:ascii="Times New Roman" w:hAnsi="Calibri" w:eastAsia="宋体" w:cs="Times New Roman"/>
                <w:kern w:val="0"/>
                <w:szCs w:val="21"/>
              </w:rPr>
              <w:t>1</w:t>
            </w:r>
            <w:r>
              <w:rPr>
                <w:rFonts w:ascii="Times New Roman" w:hAnsi="宋体" w:eastAsia="宋体" w:cs="Times New Roman"/>
                <w:kern w:val="0"/>
                <w:szCs w:val="21"/>
              </w:rPr>
              <w:t>：</w:t>
            </w:r>
            <w:r>
              <w:rPr>
                <w:rFonts w:hint="eastAsia" w:ascii="Times New Roman" w:hAnsi="宋体" w:eastAsia="宋体" w:cs="Times New Roman"/>
                <w:kern w:val="0"/>
                <w:szCs w:val="21"/>
              </w:rPr>
              <w:t>搞好湘北市场经营者的思想工作和法制教育，教育和引导市场经营者依法依规文明经营。</w:t>
            </w:r>
            <w:r>
              <w:rPr>
                <w:rFonts w:ascii="Times New Roman" w:hAnsi="宋体" w:eastAsia="宋体" w:cs="Times New Roman"/>
                <w:kern w:val="0"/>
                <w:szCs w:val="21"/>
              </w:rPr>
              <w:t>目标</w:t>
            </w:r>
            <w:r>
              <w:rPr>
                <w:rFonts w:ascii="Times New Roman" w:hAnsi="Calibri" w:eastAsia="宋体" w:cs="Times New Roman"/>
                <w:kern w:val="0"/>
                <w:szCs w:val="21"/>
              </w:rPr>
              <w:t>2</w:t>
            </w:r>
            <w:r>
              <w:rPr>
                <w:rFonts w:ascii="Times New Roman" w:hAnsi="宋体" w:eastAsia="宋体" w:cs="Times New Roman"/>
                <w:kern w:val="0"/>
                <w:szCs w:val="21"/>
              </w:rPr>
              <w:t>：</w:t>
            </w:r>
            <w:r>
              <w:rPr>
                <w:rFonts w:hint="eastAsia" w:ascii="Times New Roman" w:hAnsi="宋体" w:eastAsia="宋体" w:cs="Times New Roman"/>
                <w:kern w:val="0"/>
                <w:szCs w:val="21"/>
              </w:rPr>
              <w:t>协调并配合有关部门作好市场综治维稳、经营者维权、交通秩序管理等工作。</w:t>
            </w:r>
          </w:p>
          <w:p>
            <w:pPr>
              <w:widowControl/>
              <w:spacing w:line="360" w:lineRule="exact"/>
              <w:rPr>
                <w:rFonts w:hint="eastAsia" w:ascii="Times New Roman" w:hAnsi="宋体" w:eastAsia="宋体" w:cs="Times New Roman"/>
                <w:kern w:val="0"/>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4" w:hRule="exact"/>
          <w:jc w:val="center"/>
        </w:trPr>
        <w:tc>
          <w:tcPr>
            <w:tcW w:w="1931" w:type="dxa"/>
            <w:vMerge w:val="restart"/>
            <w:tcBorders>
              <w:top w:val="single" w:color="auto" w:sz="4" w:space="0"/>
              <w:left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部门整体支出</w:t>
            </w:r>
          </w:p>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年度绩效指标</w:t>
            </w:r>
          </w:p>
        </w:tc>
        <w:tc>
          <w:tcPr>
            <w:tcW w:w="2323"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产出指标</w:t>
            </w:r>
          </w:p>
        </w:tc>
        <w:tc>
          <w:tcPr>
            <w:tcW w:w="5418" w:type="dxa"/>
            <w:gridSpan w:val="2"/>
            <w:tcBorders>
              <w:top w:val="single" w:color="auto" w:sz="4" w:space="0"/>
              <w:bottom w:val="single" w:color="auto" w:sz="4" w:space="0"/>
              <w:right w:val="single" w:color="auto" w:sz="4" w:space="0"/>
            </w:tcBorders>
            <w:vAlign w:val="center"/>
          </w:tcPr>
          <w:p>
            <w:pPr>
              <w:spacing w:line="360" w:lineRule="exact"/>
              <w:rPr>
                <w:rFonts w:ascii="Times New Roman" w:hAnsi="Calibri" w:eastAsia="宋体" w:cs="Times New Roman"/>
                <w:kern w:val="0"/>
                <w:szCs w:val="21"/>
              </w:rPr>
            </w:pPr>
            <w:r>
              <w:rPr>
                <w:rFonts w:ascii="Times New Roman" w:hAnsi="宋体" w:eastAsia="宋体" w:cs="Times New Roman"/>
                <w:kern w:val="0"/>
                <w:szCs w:val="21"/>
              </w:rPr>
              <w:t>指标</w:t>
            </w:r>
            <w:r>
              <w:rPr>
                <w:rFonts w:ascii="Times New Roman" w:hAnsi="Calibri" w:eastAsia="宋体" w:cs="Times New Roman"/>
                <w:kern w:val="0"/>
                <w:szCs w:val="21"/>
              </w:rPr>
              <w:t>1</w:t>
            </w:r>
            <w:r>
              <w:rPr>
                <w:rFonts w:ascii="Times New Roman" w:hAnsi="宋体" w:eastAsia="宋体" w:cs="Times New Roman"/>
                <w:kern w:val="0"/>
                <w:szCs w:val="21"/>
              </w:rPr>
              <w:t>：</w:t>
            </w:r>
            <w:r>
              <w:rPr>
                <w:rFonts w:hint="eastAsia" w:ascii="Times New Roman" w:hAnsi="宋体" w:eastAsia="宋体" w:cs="Times New Roman"/>
                <w:kern w:val="0"/>
                <w:szCs w:val="21"/>
              </w:rPr>
              <w:t>每半年组织一次安全普查。</w:t>
            </w:r>
          </w:p>
          <w:p>
            <w:pPr>
              <w:spacing w:line="360" w:lineRule="exact"/>
              <w:rPr>
                <w:rFonts w:ascii="Times New Roman" w:hAnsi="Calibri" w:eastAsia="宋体" w:cs="Times New Roman"/>
                <w:kern w:val="0"/>
                <w:szCs w:val="21"/>
              </w:rPr>
            </w:pPr>
            <w:r>
              <w:rPr>
                <w:rFonts w:ascii="Times New Roman" w:hAnsi="宋体" w:eastAsia="宋体" w:cs="Times New Roman"/>
                <w:kern w:val="0"/>
                <w:szCs w:val="21"/>
              </w:rPr>
              <w:t>指标</w:t>
            </w:r>
            <w:r>
              <w:rPr>
                <w:rFonts w:ascii="Times New Roman" w:hAnsi="Calibri" w:eastAsia="宋体" w:cs="Times New Roman"/>
                <w:kern w:val="0"/>
                <w:szCs w:val="21"/>
              </w:rPr>
              <w:t>2</w:t>
            </w:r>
            <w:r>
              <w:rPr>
                <w:rFonts w:ascii="Times New Roman" w:hAnsi="宋体" w:eastAsia="宋体" w:cs="Times New Roman"/>
                <w:kern w:val="0"/>
                <w:szCs w:val="21"/>
              </w:rPr>
              <w:t>：</w:t>
            </w:r>
            <w:r>
              <w:rPr>
                <w:rFonts w:hint="eastAsia" w:ascii="Times New Roman" w:hAnsi="宋体" w:eastAsia="宋体" w:cs="Times New Roman"/>
                <w:kern w:val="0"/>
                <w:szCs w:val="21"/>
              </w:rPr>
              <w:t>组织开展湘北市场联合执法检查活动。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3" w:hRule="exact"/>
          <w:jc w:val="center"/>
        </w:trPr>
        <w:tc>
          <w:tcPr>
            <w:tcW w:w="1931" w:type="dxa"/>
            <w:vMerge w:val="continue"/>
            <w:tcBorders>
              <w:top w:val="single" w:color="auto" w:sz="4" w:space="0"/>
              <w:left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p>
        </w:tc>
        <w:tc>
          <w:tcPr>
            <w:tcW w:w="2323"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效益指标</w:t>
            </w:r>
          </w:p>
        </w:tc>
        <w:tc>
          <w:tcPr>
            <w:tcW w:w="5418" w:type="dxa"/>
            <w:gridSpan w:val="2"/>
            <w:tcBorders>
              <w:top w:val="single" w:color="auto" w:sz="4" w:space="0"/>
              <w:bottom w:val="single" w:color="auto" w:sz="4" w:space="0"/>
              <w:right w:val="single" w:color="auto" w:sz="4" w:space="0"/>
            </w:tcBorders>
            <w:vAlign w:val="center"/>
          </w:tcPr>
          <w:p>
            <w:pPr>
              <w:spacing w:line="360" w:lineRule="exact"/>
              <w:rPr>
                <w:rFonts w:ascii="Times New Roman" w:hAnsi="Calibri" w:eastAsia="宋体" w:cs="Times New Roman"/>
                <w:kern w:val="0"/>
                <w:szCs w:val="21"/>
              </w:rPr>
            </w:pPr>
            <w:r>
              <w:rPr>
                <w:rFonts w:ascii="Times New Roman" w:hAnsi="宋体" w:eastAsia="宋体" w:cs="Times New Roman"/>
                <w:kern w:val="0"/>
                <w:szCs w:val="21"/>
              </w:rPr>
              <w:t>指标</w:t>
            </w:r>
            <w:r>
              <w:rPr>
                <w:rFonts w:ascii="Times New Roman" w:hAnsi="Calibri" w:eastAsia="宋体" w:cs="Times New Roman"/>
                <w:kern w:val="0"/>
                <w:szCs w:val="21"/>
              </w:rPr>
              <w:t>1</w:t>
            </w:r>
            <w:r>
              <w:rPr>
                <w:rFonts w:ascii="Times New Roman" w:hAnsi="宋体" w:eastAsia="宋体" w:cs="Times New Roman"/>
                <w:kern w:val="0"/>
                <w:szCs w:val="21"/>
              </w:rPr>
              <w:t>：</w:t>
            </w:r>
            <w:r>
              <w:rPr>
                <w:rFonts w:hint="eastAsia" w:ascii="Times New Roman" w:hAnsi="宋体" w:eastAsia="宋体" w:cs="Times New Roman"/>
                <w:kern w:val="0"/>
                <w:szCs w:val="21"/>
              </w:rPr>
              <w:t>印发宣传单、各类政策资料，开展宣传工作。</w:t>
            </w:r>
          </w:p>
          <w:p>
            <w:pPr>
              <w:spacing w:line="360" w:lineRule="exact"/>
              <w:rPr>
                <w:rFonts w:ascii="Times New Roman" w:hAnsi="宋体" w:eastAsia="宋体" w:cs="Times New Roman"/>
                <w:kern w:val="0"/>
                <w:szCs w:val="21"/>
              </w:rPr>
            </w:pPr>
            <w:r>
              <w:rPr>
                <w:rFonts w:ascii="Times New Roman" w:hAnsi="宋体" w:eastAsia="宋体" w:cs="Times New Roman"/>
                <w:kern w:val="0"/>
                <w:szCs w:val="21"/>
              </w:rPr>
              <w:t>指标</w:t>
            </w:r>
            <w:r>
              <w:rPr>
                <w:rFonts w:ascii="Times New Roman" w:hAnsi="Calibri" w:eastAsia="宋体" w:cs="Times New Roman"/>
                <w:kern w:val="0"/>
                <w:szCs w:val="21"/>
              </w:rPr>
              <w:t>2</w:t>
            </w:r>
            <w:r>
              <w:rPr>
                <w:rFonts w:ascii="Times New Roman" w:hAnsi="宋体" w:eastAsia="宋体" w:cs="Times New Roman"/>
                <w:kern w:val="0"/>
                <w:szCs w:val="21"/>
              </w:rPr>
              <w:t>：</w:t>
            </w:r>
            <w:r>
              <w:rPr>
                <w:rFonts w:hint="eastAsia" w:ascii="Times New Roman" w:hAnsi="宋体" w:eastAsia="宋体" w:cs="Times New Roman"/>
                <w:kern w:val="0"/>
                <w:szCs w:val="21"/>
              </w:rPr>
              <w:t>全面摸底、登记造册，及时发现和解决各项问题。</w:t>
            </w:r>
          </w:p>
          <w:p>
            <w:pPr>
              <w:spacing w:line="360" w:lineRule="exact"/>
              <w:rPr>
                <w:rFonts w:ascii="Times New Roman" w:hAnsi="Calibri" w:eastAsia="宋体" w:cs="Times New Roman"/>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8" w:hRule="exact"/>
          <w:jc w:val="center"/>
        </w:trPr>
        <w:tc>
          <w:tcPr>
            <w:tcW w:w="193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财政部门</w:t>
            </w:r>
          </w:p>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审核意见</w:t>
            </w:r>
          </w:p>
        </w:tc>
        <w:tc>
          <w:tcPr>
            <w:tcW w:w="774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Calibri" w:eastAsia="宋体" w:cs="Times New Roman"/>
                <w:kern w:val="0"/>
                <w:szCs w:val="21"/>
              </w:rPr>
            </w:pPr>
          </w:p>
          <w:p>
            <w:pPr>
              <w:spacing w:line="360" w:lineRule="exact"/>
              <w:ind w:firstLine="3255" w:firstLineChars="1550"/>
              <w:jc w:val="center"/>
              <w:rPr>
                <w:rFonts w:hint="eastAsia" w:ascii="Times New Roman" w:hAnsi="Calibri" w:eastAsia="宋体" w:cs="Times New Roman"/>
                <w:kern w:val="0"/>
                <w:szCs w:val="21"/>
                <w:lang w:eastAsia="zh-CN"/>
              </w:rPr>
            </w:pPr>
            <w:r>
              <w:rPr>
                <w:rFonts w:ascii="Times New Roman" w:hAnsi="宋体" w:eastAsia="宋体" w:cs="Times New Roman"/>
                <w:kern w:val="0"/>
                <w:szCs w:val="21"/>
              </w:rPr>
              <w:t>（盖章）</w:t>
            </w:r>
            <w:r>
              <w:rPr>
                <w:rFonts w:ascii="Times New Roman" w:hAnsi="Calibri" w:eastAsia="宋体" w:cs="Times New Roman"/>
                <w:kern w:val="0"/>
                <w:szCs w:val="21"/>
              </w:rPr>
              <w:t xml:space="preserve">                                     </w:t>
            </w:r>
          </w:p>
          <w:p>
            <w:pPr>
              <w:spacing w:line="360" w:lineRule="exact"/>
              <w:ind w:firstLine="3255" w:firstLineChars="1550"/>
              <w:jc w:val="center"/>
              <w:rPr>
                <w:rFonts w:ascii="Times New Roman" w:hAnsi="Calibri" w:eastAsia="宋体" w:cs="Times New Roman"/>
                <w:kern w:val="0"/>
                <w:szCs w:val="21"/>
              </w:rPr>
            </w:pPr>
            <w:r>
              <w:rPr>
                <w:rFonts w:ascii="Times New Roman" w:hAnsi="Calibri" w:eastAsia="宋体" w:cs="Times New Roman"/>
                <w:kern w:val="0"/>
                <w:szCs w:val="21"/>
              </w:rPr>
              <w:t xml:space="preserve">                               </w:t>
            </w:r>
            <w:r>
              <w:rPr>
                <w:rFonts w:ascii="Times New Roman" w:hAnsi="宋体" w:eastAsia="宋体" w:cs="Times New Roman"/>
                <w:kern w:val="0"/>
                <w:szCs w:val="21"/>
              </w:rPr>
              <w:t>年</w:t>
            </w:r>
            <w:r>
              <w:rPr>
                <w:rFonts w:ascii="Times New Roman" w:hAnsi="Calibri" w:eastAsia="宋体" w:cs="Times New Roman"/>
                <w:kern w:val="0"/>
                <w:szCs w:val="21"/>
              </w:rPr>
              <w:t xml:space="preserve">   </w:t>
            </w:r>
            <w:r>
              <w:rPr>
                <w:rFonts w:ascii="Times New Roman" w:hAnsi="宋体" w:eastAsia="宋体" w:cs="Times New Roman"/>
                <w:kern w:val="0"/>
                <w:szCs w:val="21"/>
              </w:rPr>
              <w:t>月</w:t>
            </w:r>
            <w:r>
              <w:rPr>
                <w:rFonts w:ascii="Times New Roman" w:hAnsi="Calibri" w:eastAsia="宋体" w:cs="Times New Roman"/>
                <w:kern w:val="0"/>
                <w:szCs w:val="21"/>
              </w:rPr>
              <w:t xml:space="preserve">   </w:t>
            </w:r>
            <w:r>
              <w:rPr>
                <w:rFonts w:ascii="Times New Roman" w:hAnsi="宋体" w:eastAsia="宋体" w:cs="Times New Roman"/>
                <w:kern w:val="0"/>
                <w:szCs w:val="21"/>
              </w:rPr>
              <w:t>日</w:t>
            </w:r>
          </w:p>
        </w:tc>
      </w:tr>
    </w:tbl>
    <w:p>
      <w:pPr>
        <w:widowControl/>
        <w:tabs>
          <w:tab w:val="left" w:pos="2970"/>
          <w:tab w:val="left" w:pos="6493"/>
        </w:tabs>
        <w:spacing w:line="40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填报人：</w:t>
      </w:r>
      <w:r>
        <w:rPr>
          <w:rFonts w:hint="eastAsia" w:ascii="Times New Roman" w:hAnsi="宋体" w:eastAsia="宋体" w:cs="Times New Roman"/>
          <w:kern w:val="0"/>
          <w:sz w:val="24"/>
          <w:szCs w:val="22"/>
        </w:rPr>
        <w:t>陈璇</w:t>
      </w:r>
      <w:r>
        <w:rPr>
          <w:rFonts w:hint="eastAsia" w:ascii="Times New Roman" w:hAnsi="Calibri" w:eastAsia="宋体" w:cs="Times New Roman"/>
          <w:kern w:val="0"/>
          <w:sz w:val="24"/>
          <w:szCs w:val="22"/>
        </w:rPr>
        <w:t xml:space="preserve">       </w:t>
      </w:r>
      <w:r>
        <w:rPr>
          <w:rFonts w:ascii="Times New Roman" w:hAnsi="宋体" w:eastAsia="宋体" w:cs="Times New Roman"/>
          <w:kern w:val="0"/>
          <w:sz w:val="24"/>
          <w:szCs w:val="22"/>
        </w:rPr>
        <w:t>联系电话：</w:t>
      </w:r>
      <w:r>
        <w:rPr>
          <w:rFonts w:hint="eastAsia" w:ascii="Times New Roman" w:hAnsi="宋体" w:eastAsia="宋体" w:cs="Times New Roman"/>
          <w:kern w:val="0"/>
          <w:sz w:val="24"/>
          <w:szCs w:val="22"/>
        </w:rPr>
        <w:t>13874343872</w:t>
      </w:r>
      <w:r>
        <w:rPr>
          <w:rFonts w:ascii="Times New Roman" w:hAnsi="Calibri" w:eastAsia="宋体" w:cs="Times New Roman"/>
          <w:kern w:val="0"/>
          <w:sz w:val="24"/>
          <w:szCs w:val="22"/>
        </w:rPr>
        <w:t xml:space="preserve">    </w:t>
      </w:r>
      <w:r>
        <w:rPr>
          <w:rFonts w:ascii="Times New Roman" w:hAnsi="宋体" w:eastAsia="宋体" w:cs="Times New Roman"/>
          <w:kern w:val="0"/>
          <w:sz w:val="24"/>
          <w:szCs w:val="22"/>
        </w:rPr>
        <w:t>填报日期：</w:t>
      </w:r>
      <w:r>
        <w:rPr>
          <w:rFonts w:hint="eastAsia" w:ascii="Times New Roman" w:hAnsi="宋体" w:eastAsia="宋体" w:cs="Times New Roman"/>
          <w:kern w:val="0"/>
          <w:sz w:val="24"/>
          <w:szCs w:val="22"/>
        </w:rPr>
        <w:t>2020年2月28日</w:t>
      </w:r>
    </w:p>
    <w:p>
      <w:pPr>
        <w:widowControl/>
        <w:tabs>
          <w:tab w:val="left" w:pos="2970"/>
          <w:tab w:val="left" w:pos="6493"/>
        </w:tabs>
        <w:spacing w:line="400" w:lineRule="exact"/>
        <w:jc w:val="center"/>
        <w:rPr>
          <w:rFonts w:ascii="Times New Roman" w:hAnsi="Calibri" w:eastAsia="宋体" w:cs="Times New Roman"/>
          <w:kern w:val="0"/>
          <w:sz w:val="24"/>
          <w:szCs w:val="22"/>
        </w:rPr>
      </w:pPr>
    </w:p>
    <w:p>
      <w:pPr>
        <w:widowControl/>
        <w:tabs>
          <w:tab w:val="left" w:pos="2970"/>
          <w:tab w:val="left" w:pos="6493"/>
        </w:tabs>
        <w:spacing w:line="400" w:lineRule="exact"/>
        <w:jc w:val="left"/>
        <w:rPr>
          <w:rFonts w:ascii="Times New Roman" w:hAnsi="黑体" w:eastAsia="黑体" w:cs="Times New Roman"/>
          <w:kern w:val="0"/>
          <w:sz w:val="32"/>
          <w:szCs w:val="32"/>
        </w:rPr>
      </w:pPr>
    </w:p>
    <w:p>
      <w:pPr>
        <w:widowControl/>
        <w:tabs>
          <w:tab w:val="left" w:pos="2970"/>
          <w:tab w:val="left" w:pos="6493"/>
        </w:tabs>
        <w:spacing w:line="400" w:lineRule="exact"/>
        <w:jc w:val="left"/>
        <w:rPr>
          <w:rFonts w:ascii="Times New Roman" w:hAnsi="黑体" w:eastAsia="黑体" w:cs="Times New Roman"/>
          <w:kern w:val="0"/>
          <w:sz w:val="32"/>
          <w:szCs w:val="32"/>
        </w:rPr>
      </w:pPr>
    </w:p>
    <w:p>
      <w:pPr>
        <w:widowControl/>
        <w:tabs>
          <w:tab w:val="left" w:pos="2970"/>
          <w:tab w:val="left" w:pos="6493"/>
        </w:tabs>
        <w:spacing w:line="400" w:lineRule="exact"/>
        <w:jc w:val="left"/>
        <w:rPr>
          <w:rFonts w:ascii="Times New Roman" w:hAnsi="黑体" w:eastAsia="黑体" w:cs="Times New Roman"/>
          <w:kern w:val="0"/>
          <w:sz w:val="32"/>
          <w:szCs w:val="32"/>
        </w:rPr>
      </w:pPr>
    </w:p>
    <w:p>
      <w:pPr>
        <w:widowControl/>
        <w:tabs>
          <w:tab w:val="left" w:pos="2970"/>
          <w:tab w:val="left" w:pos="6493"/>
        </w:tabs>
        <w:spacing w:line="400" w:lineRule="exact"/>
        <w:jc w:val="left"/>
        <w:rPr>
          <w:rFonts w:ascii="Times New Roman" w:hAnsi="黑体" w:eastAsia="黑体" w:cs="Times New Roman"/>
          <w:kern w:val="0"/>
          <w:sz w:val="32"/>
          <w:szCs w:val="32"/>
        </w:rPr>
      </w:pPr>
    </w:p>
    <w:p>
      <w:pPr>
        <w:widowControl/>
        <w:tabs>
          <w:tab w:val="left" w:pos="2970"/>
          <w:tab w:val="left" w:pos="6493"/>
        </w:tabs>
        <w:spacing w:line="400" w:lineRule="exact"/>
        <w:jc w:val="left"/>
        <w:rPr>
          <w:rFonts w:ascii="Times New Roman" w:hAnsi="黑体" w:eastAsia="黑体" w:cs="Times New Roman"/>
          <w:kern w:val="0"/>
          <w:sz w:val="32"/>
          <w:szCs w:val="32"/>
        </w:rPr>
      </w:pPr>
    </w:p>
    <w:p>
      <w:pPr>
        <w:widowControl/>
        <w:tabs>
          <w:tab w:val="left" w:pos="2970"/>
          <w:tab w:val="left" w:pos="6493"/>
        </w:tabs>
        <w:spacing w:line="400" w:lineRule="exact"/>
        <w:jc w:val="left"/>
        <w:rPr>
          <w:rFonts w:ascii="Times New Roman" w:hAnsi="黑体" w:eastAsia="黑体" w:cs="Times New Roman"/>
          <w:kern w:val="0"/>
          <w:sz w:val="32"/>
          <w:szCs w:val="32"/>
        </w:rPr>
      </w:pPr>
    </w:p>
    <w:p>
      <w:pPr>
        <w:widowControl/>
        <w:tabs>
          <w:tab w:val="left" w:pos="2970"/>
          <w:tab w:val="left" w:pos="6493"/>
        </w:tabs>
        <w:spacing w:line="400" w:lineRule="exact"/>
        <w:jc w:val="left"/>
        <w:rPr>
          <w:rFonts w:ascii="Times New Roman" w:hAnsi="黑体" w:eastAsia="黑体" w:cs="Times New Roman"/>
          <w:kern w:val="0"/>
          <w:sz w:val="32"/>
          <w:szCs w:val="32"/>
        </w:rPr>
      </w:pPr>
    </w:p>
    <w:p>
      <w:pPr>
        <w:widowControl/>
        <w:tabs>
          <w:tab w:val="left" w:pos="2970"/>
          <w:tab w:val="left" w:pos="6493"/>
        </w:tabs>
        <w:spacing w:line="400" w:lineRule="exact"/>
        <w:jc w:val="left"/>
        <w:rPr>
          <w:rFonts w:ascii="Times New Roman" w:hAnsi="黑体" w:eastAsia="黑体" w:cs="Times New Roman"/>
          <w:kern w:val="0"/>
          <w:sz w:val="32"/>
          <w:szCs w:val="32"/>
        </w:rPr>
      </w:pPr>
    </w:p>
    <w:p>
      <w:pPr>
        <w:widowControl/>
        <w:tabs>
          <w:tab w:val="left" w:pos="2970"/>
          <w:tab w:val="left" w:pos="6493"/>
        </w:tabs>
        <w:spacing w:line="400" w:lineRule="exact"/>
        <w:jc w:val="left"/>
        <w:rPr>
          <w:rFonts w:ascii="Times New Roman" w:hAnsi="Calibri" w:eastAsia="宋体" w:cs="Times New Roman"/>
          <w:kern w:val="0"/>
          <w:sz w:val="24"/>
          <w:szCs w:val="22"/>
        </w:rPr>
      </w:pPr>
      <w:r>
        <w:rPr>
          <w:rFonts w:ascii="Times New Roman" w:hAnsi="黑体" w:eastAsia="黑体" w:cs="Times New Roman"/>
          <w:kern w:val="0"/>
          <w:sz w:val="32"/>
          <w:szCs w:val="32"/>
        </w:rPr>
        <w:t>附件</w:t>
      </w:r>
      <w:r>
        <w:rPr>
          <w:rFonts w:ascii="Times New Roman" w:hAnsi="Calibri" w:eastAsia="黑体" w:cs="Times New Roman"/>
          <w:kern w:val="0"/>
          <w:sz w:val="32"/>
          <w:szCs w:val="32"/>
        </w:rPr>
        <w:t>2</w:t>
      </w:r>
    </w:p>
    <w:p>
      <w:pPr>
        <w:spacing w:line="500" w:lineRule="exact"/>
        <w:jc w:val="center"/>
        <w:rPr>
          <w:rFonts w:hint="eastAsia" w:ascii="Times New Roman" w:hAnsi="Calibri" w:eastAsia="方正小标宋简体" w:cs="Times New Roman"/>
          <w:bCs/>
          <w:kern w:val="0"/>
          <w:sz w:val="44"/>
          <w:szCs w:val="44"/>
          <w:lang w:eastAsia="zh-CN"/>
        </w:rPr>
      </w:pPr>
      <w:r>
        <w:rPr>
          <w:rFonts w:ascii="Times New Roman" w:hAnsi="Calibri" w:eastAsia="方正小标宋简体" w:cs="Times New Roman"/>
          <w:bCs/>
          <w:kern w:val="0"/>
          <w:sz w:val="44"/>
          <w:szCs w:val="44"/>
        </w:rPr>
        <w:t>专项资金绩效目标申报表</w:t>
      </w:r>
    </w:p>
    <w:p>
      <w:pPr>
        <w:spacing w:line="500" w:lineRule="exact"/>
        <w:jc w:val="center"/>
        <w:rPr>
          <w:rFonts w:ascii="Times New Roman" w:hAnsi="Calibri" w:eastAsia="宋体" w:cs="Times New Roman"/>
          <w:bCs/>
          <w:kern w:val="0"/>
          <w:sz w:val="24"/>
          <w:szCs w:val="22"/>
        </w:rPr>
      </w:pPr>
      <w:r>
        <w:rPr>
          <w:rFonts w:ascii="Times New Roman" w:hAnsi="宋体" w:eastAsia="宋体" w:cs="Times New Roman"/>
          <w:kern w:val="0"/>
          <w:sz w:val="24"/>
          <w:szCs w:val="22"/>
        </w:rPr>
        <w:t>（</w:t>
      </w:r>
      <w:r>
        <w:rPr>
          <w:rFonts w:ascii="Times New Roman" w:hAnsi="Calibri" w:eastAsia="宋体" w:cs="Times New Roman"/>
          <w:kern w:val="0"/>
          <w:sz w:val="24"/>
          <w:szCs w:val="22"/>
          <w:u w:val="single"/>
        </w:rPr>
        <w:t xml:space="preserve">   </w:t>
      </w:r>
      <w:r>
        <w:rPr>
          <w:rFonts w:hint="eastAsia" w:ascii="Times New Roman" w:hAnsi="Calibri" w:eastAsia="宋体" w:cs="Times New Roman"/>
          <w:kern w:val="0"/>
          <w:sz w:val="24"/>
          <w:szCs w:val="22"/>
          <w:u w:val="single"/>
        </w:rPr>
        <w:t>2020</w:t>
      </w:r>
      <w:r>
        <w:rPr>
          <w:rFonts w:ascii="Times New Roman" w:hAnsi="Calibri" w:eastAsia="宋体" w:cs="Times New Roman"/>
          <w:kern w:val="0"/>
          <w:sz w:val="24"/>
          <w:szCs w:val="22"/>
          <w:u w:val="single"/>
        </w:rPr>
        <w:t xml:space="preserve">  </w:t>
      </w:r>
      <w:r>
        <w:rPr>
          <w:rFonts w:hint="eastAsia" w:ascii="楷体_GB2312" w:hAnsi="宋体" w:eastAsia="楷体_GB2312" w:cs="Times New Roman"/>
          <w:kern w:val="0"/>
          <w:sz w:val="24"/>
          <w:szCs w:val="22"/>
        </w:rPr>
        <w:t>年度</w:t>
      </w:r>
      <w:r>
        <w:rPr>
          <w:rFonts w:ascii="Times New Roman" w:hAnsi="宋体" w:eastAsia="宋体" w:cs="Times New Roman"/>
          <w:kern w:val="0"/>
          <w:sz w:val="24"/>
          <w:szCs w:val="22"/>
        </w:rPr>
        <w:t>）</w:t>
      </w:r>
    </w:p>
    <w:p>
      <w:pPr>
        <w:widowControl/>
        <w:jc w:val="left"/>
        <w:rPr>
          <w:rFonts w:ascii="Times New Roman" w:hAnsi="Calibri" w:eastAsia="宋体" w:cs="Times New Roman"/>
          <w:kern w:val="0"/>
          <w:sz w:val="24"/>
          <w:szCs w:val="22"/>
        </w:rPr>
      </w:pPr>
      <w:r>
        <w:rPr>
          <w:rFonts w:ascii="Times New Roman" w:hAnsi="宋体" w:eastAsia="宋体" w:cs="Times New Roman"/>
          <w:kern w:val="0"/>
          <w:sz w:val="24"/>
          <w:szCs w:val="22"/>
        </w:rPr>
        <w:t>填报单位（盖章）</w:t>
      </w:r>
      <w:r>
        <w:rPr>
          <w:rFonts w:ascii="Times New Roman" w:hAnsi="Calibri" w:eastAsia="宋体" w:cs="Times New Roman"/>
          <w:kern w:val="0"/>
          <w:sz w:val="24"/>
          <w:szCs w:val="22"/>
        </w:rPr>
        <w:t xml:space="preserve">                                        </w:t>
      </w:r>
      <w:r>
        <w:rPr>
          <w:rFonts w:ascii="Times New Roman" w:hAnsi="宋体" w:eastAsia="宋体" w:cs="Times New Roman"/>
          <w:kern w:val="0"/>
          <w:sz w:val="24"/>
          <w:szCs w:val="22"/>
        </w:rPr>
        <w:t>金额单位：</w:t>
      </w:r>
      <w:r>
        <w:rPr>
          <w:rFonts w:hint="eastAsia" w:ascii="Times New Roman" w:hAnsi="宋体" w:eastAsia="宋体" w:cs="Times New Roman"/>
          <w:kern w:val="0"/>
          <w:sz w:val="24"/>
          <w:szCs w:val="22"/>
        </w:rPr>
        <w:t>千</w:t>
      </w:r>
      <w:r>
        <w:rPr>
          <w:rFonts w:ascii="Times New Roman" w:hAnsi="宋体" w:eastAsia="宋体" w:cs="Times New Roman"/>
          <w:kern w:val="0"/>
          <w:sz w:val="24"/>
          <w:szCs w:val="22"/>
        </w:rPr>
        <w:t>元</w:t>
      </w:r>
    </w:p>
    <w:tbl>
      <w:tblPr>
        <w:tblStyle w:val="4"/>
        <w:tblW w:w="98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440"/>
        <w:gridCol w:w="1979"/>
        <w:gridCol w:w="2624"/>
        <w:gridCol w:w="1360"/>
        <w:gridCol w:w="10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exact"/>
          <w:jc w:val="center"/>
        </w:trPr>
        <w:tc>
          <w:tcPr>
            <w:tcW w:w="2827" w:type="dxa"/>
            <w:gridSpan w:val="2"/>
            <w:tcBorders>
              <w:top w:val="single" w:color="auto" w:sz="4" w:space="0"/>
              <w:left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专项名称</w:t>
            </w:r>
          </w:p>
        </w:tc>
        <w:tc>
          <w:tcPr>
            <w:tcW w:w="1979"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r>
              <w:rPr>
                <w:rFonts w:hint="eastAsia" w:ascii="Times New Roman" w:hAnsi="宋体" w:eastAsia="宋体" w:cs="Times New Roman"/>
                <w:kern w:val="0"/>
                <w:szCs w:val="21"/>
              </w:rPr>
              <w:t>市场整治经费</w:t>
            </w:r>
          </w:p>
        </w:tc>
        <w:tc>
          <w:tcPr>
            <w:tcW w:w="2624"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专项属性</w:t>
            </w:r>
          </w:p>
        </w:tc>
        <w:tc>
          <w:tcPr>
            <w:tcW w:w="2444" w:type="dxa"/>
            <w:gridSpan w:val="2"/>
            <w:tcBorders>
              <w:top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延续专项</w:t>
            </w:r>
            <w:r>
              <w:rPr>
                <w:rFonts w:ascii="Times New Roman" w:hAnsi="宋体" w:eastAsia="宋体" w:cs="Times New Roman"/>
                <w:kern w:val="0"/>
                <w:sz w:val="24"/>
                <w:szCs w:val="22"/>
              </w:rPr>
              <w:sym w:font="Wingdings" w:char="F0FE"/>
            </w:r>
          </w:p>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新增专项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82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部门名称</w:t>
            </w:r>
          </w:p>
        </w:tc>
        <w:tc>
          <w:tcPr>
            <w:tcW w:w="704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ascii="Times New Roman" w:hAnsi="Calibri" w:eastAsia="宋体" w:cs="Times New Roman"/>
                <w:kern w:val="0"/>
                <w:szCs w:val="21"/>
              </w:rPr>
            </w:pPr>
            <w:r>
              <w:rPr>
                <w:rFonts w:ascii="Times New Roman" w:hAnsi="宋体" w:eastAsia="宋体" w:cs="Times New Roman"/>
                <w:kern w:val="0"/>
                <w:szCs w:val="21"/>
              </w:rPr>
              <w:t>　　</w:t>
            </w:r>
            <w:r>
              <w:rPr>
                <w:rFonts w:hint="eastAsia" w:ascii="Times New Roman" w:hAnsi="Calibri" w:eastAsia="宋体" w:cs="Times New Roman"/>
                <w:kern w:val="0"/>
                <w:szCs w:val="21"/>
              </w:rPr>
              <w:t>沅江市湘北市场管理办公室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282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资金总额</w:t>
            </w:r>
          </w:p>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w:t>
            </w:r>
            <w:r>
              <w:rPr>
                <w:rFonts w:hint="eastAsia" w:ascii="Times New Roman" w:hAnsi="Calibri" w:eastAsia="宋体" w:cs="Times New Roman"/>
                <w:kern w:val="0"/>
                <w:sz w:val="24"/>
                <w:szCs w:val="22"/>
              </w:rPr>
              <w:t>1032</w:t>
            </w:r>
            <w:r>
              <w:rPr>
                <w:rFonts w:ascii="Times New Roman" w:hAnsi="Calibri" w:eastAsia="宋体" w:cs="Times New Roman"/>
                <w:kern w:val="0"/>
                <w:sz w:val="24"/>
                <w:szCs w:val="22"/>
              </w:rPr>
              <w:t xml:space="preserve"> </w:t>
            </w:r>
            <w:r>
              <w:rPr>
                <w:rFonts w:hint="eastAsia" w:ascii="Times New Roman" w:hAnsi="宋体" w:eastAsia="宋体" w:cs="Times New Roman"/>
                <w:kern w:val="0"/>
                <w:sz w:val="24"/>
                <w:szCs w:val="22"/>
              </w:rPr>
              <w:t>千</w:t>
            </w:r>
            <w:r>
              <w:rPr>
                <w:rFonts w:ascii="Times New Roman" w:hAnsi="宋体" w:eastAsia="宋体" w:cs="Times New Roman"/>
                <w:kern w:val="0"/>
                <w:sz w:val="24"/>
                <w:szCs w:val="22"/>
              </w:rPr>
              <w:t>元）</w:t>
            </w:r>
          </w:p>
        </w:tc>
        <w:tc>
          <w:tcPr>
            <w:tcW w:w="704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rPr>
                <w:rFonts w:ascii="Times New Roman" w:hAnsi="Calibri" w:eastAsia="宋体" w:cs="Times New Roman"/>
                <w:kern w:val="0"/>
                <w:szCs w:val="21"/>
              </w:rPr>
            </w:pPr>
            <w:r>
              <w:rPr>
                <w:rFonts w:ascii="Times New Roman" w:hAnsi="宋体" w:eastAsia="宋体" w:cs="Times New Roman"/>
                <w:kern w:val="0"/>
                <w:szCs w:val="21"/>
              </w:rPr>
              <w:t>其中：上级财政资金</w:t>
            </w:r>
            <w:r>
              <w:rPr>
                <w:rFonts w:ascii="Times New Roman" w:hAnsi="Calibri" w:eastAsia="宋体" w:cs="Times New Roman"/>
                <w:kern w:val="0"/>
                <w:szCs w:val="21"/>
              </w:rPr>
              <w:t xml:space="preserve">     </w:t>
            </w:r>
            <w:r>
              <w:rPr>
                <w:rFonts w:hint="eastAsia" w:ascii="Times New Roman" w:hAnsi="Calibri" w:eastAsia="宋体" w:cs="Times New Roman"/>
                <w:kern w:val="0"/>
                <w:szCs w:val="21"/>
              </w:rPr>
              <w:t>0</w:t>
            </w:r>
            <w:r>
              <w:rPr>
                <w:rFonts w:ascii="Times New Roman" w:hAnsi="Calibri" w:eastAsia="宋体" w:cs="Times New Roman"/>
                <w:kern w:val="0"/>
                <w:szCs w:val="21"/>
              </w:rPr>
              <w:t xml:space="preserve">   </w:t>
            </w:r>
            <w:r>
              <w:rPr>
                <w:rFonts w:hint="eastAsia" w:ascii="Times New Roman" w:hAnsi="宋体" w:eastAsia="宋体" w:cs="Times New Roman"/>
                <w:kern w:val="0"/>
                <w:szCs w:val="21"/>
              </w:rPr>
              <w:t>千</w:t>
            </w:r>
            <w:r>
              <w:rPr>
                <w:rFonts w:ascii="Times New Roman" w:hAnsi="宋体" w:eastAsia="宋体" w:cs="Times New Roman"/>
                <w:kern w:val="0"/>
                <w:szCs w:val="21"/>
              </w:rPr>
              <w:t>元，</w:t>
            </w:r>
            <w:r>
              <w:rPr>
                <w:rFonts w:hint="eastAsia" w:ascii="Times New Roman" w:hAnsi="宋体" w:eastAsia="宋体" w:cs="Times New Roman"/>
                <w:kern w:val="0"/>
                <w:szCs w:val="21"/>
              </w:rPr>
              <w:t>市</w:t>
            </w:r>
            <w:r>
              <w:rPr>
                <w:rFonts w:ascii="Times New Roman" w:hAnsi="宋体" w:eastAsia="宋体" w:cs="Times New Roman"/>
                <w:kern w:val="0"/>
                <w:szCs w:val="21"/>
              </w:rPr>
              <w:t>级财政资金</w:t>
            </w:r>
            <w:r>
              <w:rPr>
                <w:rFonts w:hint="eastAsia" w:ascii="Times New Roman" w:hAnsi="宋体" w:eastAsia="宋体" w:cs="Times New Roman"/>
                <w:kern w:val="0"/>
                <w:szCs w:val="21"/>
              </w:rPr>
              <w:t>112</w:t>
            </w:r>
            <w:r>
              <w:rPr>
                <w:rFonts w:ascii="Times New Roman" w:hAnsi="Calibri" w:eastAsia="宋体" w:cs="Times New Roman"/>
                <w:kern w:val="0"/>
                <w:szCs w:val="21"/>
              </w:rPr>
              <w:t xml:space="preserve">  </w:t>
            </w:r>
            <w:r>
              <w:rPr>
                <w:rFonts w:hint="eastAsia" w:ascii="Times New Roman" w:hAnsi="宋体" w:eastAsia="宋体" w:cs="Times New Roman"/>
                <w:kern w:val="0"/>
                <w:szCs w:val="21"/>
              </w:rPr>
              <w:t>千</w:t>
            </w:r>
            <w:r>
              <w:rPr>
                <w:rFonts w:ascii="Times New Roman" w:hAnsi="宋体" w:eastAsia="宋体" w:cs="Times New Roman"/>
                <w:kern w:val="0"/>
                <w:szCs w:val="21"/>
              </w:rPr>
              <w:t>元，其他资金</w:t>
            </w:r>
            <w:r>
              <w:rPr>
                <w:rFonts w:hint="eastAsia" w:ascii="Times New Roman" w:hAnsi="Calibri" w:eastAsia="宋体" w:cs="Times New Roman"/>
                <w:kern w:val="0"/>
                <w:szCs w:val="21"/>
              </w:rPr>
              <w:t>0</w:t>
            </w:r>
            <w:r>
              <w:rPr>
                <w:rFonts w:ascii="Times New Roman" w:hAnsi="Calibri" w:eastAsia="宋体" w:cs="Times New Roman"/>
                <w:kern w:val="0"/>
                <w:szCs w:val="21"/>
              </w:rPr>
              <w:t xml:space="preserve">   </w:t>
            </w:r>
            <w:r>
              <w:rPr>
                <w:rFonts w:hint="eastAsia" w:ascii="Times New Roman" w:hAnsi="宋体" w:eastAsia="宋体" w:cs="Times New Roman"/>
                <w:kern w:val="0"/>
                <w:szCs w:val="21"/>
              </w:rPr>
              <w:t>千</w:t>
            </w:r>
            <w:r>
              <w:rPr>
                <w:rFonts w:ascii="Times New Roman" w:hAnsi="宋体" w:eastAsia="宋体" w:cs="Times New Roman"/>
                <w:kern w:val="0"/>
                <w:szCs w:val="21"/>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36" w:hRule="exact"/>
          <w:jc w:val="center"/>
        </w:trPr>
        <w:tc>
          <w:tcPr>
            <w:tcW w:w="282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left="-63" w:leftChars="-30" w:right="-63" w:rightChars="-30"/>
              <w:jc w:val="center"/>
              <w:rPr>
                <w:rFonts w:ascii="Times New Roman" w:hAnsi="Calibri" w:eastAsia="宋体" w:cs="Times New Roman"/>
                <w:kern w:val="0"/>
                <w:sz w:val="24"/>
                <w:szCs w:val="22"/>
              </w:rPr>
            </w:pPr>
            <w:r>
              <w:rPr>
                <w:rFonts w:ascii="Times New Roman" w:hAnsi="宋体" w:eastAsia="宋体" w:cs="Times New Roman"/>
                <w:kern w:val="0"/>
                <w:sz w:val="24"/>
                <w:szCs w:val="22"/>
              </w:rPr>
              <w:t>部门相应职能职责概述</w:t>
            </w:r>
          </w:p>
        </w:tc>
        <w:tc>
          <w:tcPr>
            <w:tcW w:w="704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Calibri" w:eastAsia="宋体" w:cs="Times New Roman"/>
                <w:kern w:val="0"/>
                <w:szCs w:val="21"/>
              </w:rPr>
            </w:pPr>
            <w:r>
              <w:rPr>
                <w:rFonts w:hint="eastAsia" w:ascii="Times New Roman" w:hAnsi="Calibri" w:eastAsia="宋体" w:cs="Times New Roman"/>
                <w:kern w:val="0"/>
                <w:szCs w:val="21"/>
              </w:rPr>
              <w:t xml:space="preserve">  </w:t>
            </w:r>
            <w:r>
              <w:rPr>
                <w:rFonts w:hint="eastAsia" w:ascii="Times New Roman" w:hAnsi="宋体" w:eastAsia="宋体" w:cs="Times New Roman"/>
                <w:kern w:val="0"/>
                <w:szCs w:val="21"/>
              </w:rPr>
              <w:t>负责组织指导辖区内业主委员会开展自治工作，保护业主和消费者的合法权益;负责湘北市场经营者的思想工作和法制教育，教育和引导市场经营者依法依规文明经营;协调并配合有关部门作好市场综治维稳、经营者维权、交通秩序管理等工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282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专项立项依据</w:t>
            </w:r>
          </w:p>
        </w:tc>
        <w:tc>
          <w:tcPr>
            <w:tcW w:w="704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宋体" w:eastAsia="宋体" w:cs="Times New Roman"/>
                <w:kern w:val="0"/>
                <w:sz w:val="24"/>
                <w:szCs w:val="22"/>
              </w:rPr>
            </w:pPr>
            <w:r>
              <w:rPr>
                <w:rFonts w:hint="eastAsia" w:ascii="Times New Roman" w:hAnsi="宋体" w:eastAsia="宋体" w:cs="Times New Roman"/>
                <w:kern w:val="0"/>
                <w:sz w:val="24"/>
                <w:szCs w:val="22"/>
              </w:rPr>
              <w:t>延续专项</w:t>
            </w: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27" w:type="dxa"/>
            <w:gridSpan w:val="2"/>
            <w:vMerge w:val="restart"/>
            <w:tcBorders>
              <w:top w:val="single" w:color="auto" w:sz="4" w:space="0"/>
              <w:left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专项实施进度计划</w:t>
            </w:r>
          </w:p>
        </w:tc>
        <w:tc>
          <w:tcPr>
            <w:tcW w:w="1979"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专项实施内容</w:t>
            </w:r>
          </w:p>
        </w:tc>
        <w:tc>
          <w:tcPr>
            <w:tcW w:w="2624"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计划开始时间</w:t>
            </w:r>
          </w:p>
        </w:tc>
        <w:tc>
          <w:tcPr>
            <w:tcW w:w="2444" w:type="dxa"/>
            <w:gridSpan w:val="2"/>
            <w:tcBorders>
              <w:top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计划完成时间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27" w:type="dxa"/>
            <w:gridSpan w:val="2"/>
            <w:vMerge w:val="continue"/>
            <w:tcBorders>
              <w:top w:val="single" w:color="auto" w:sz="4" w:space="0"/>
              <w:left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979" w:type="dxa"/>
            <w:tcBorders>
              <w:top w:val="single" w:color="auto" w:sz="4" w:space="0"/>
              <w:bottom w:val="single" w:color="auto" w:sz="4" w:space="0"/>
            </w:tcBorders>
            <w:vAlign w:val="center"/>
          </w:tcPr>
          <w:p>
            <w:pPr>
              <w:widowControl/>
              <w:spacing w:line="240" w:lineRule="exact"/>
              <w:jc w:val="center"/>
              <w:rPr>
                <w:rFonts w:ascii="Times New Roman" w:hAnsi="Calibri" w:eastAsia="宋体" w:cs="Times New Roman"/>
                <w:kern w:val="0"/>
                <w:szCs w:val="21"/>
              </w:rPr>
            </w:pPr>
            <w:r>
              <w:rPr>
                <w:rFonts w:ascii="Times New Roman" w:hAnsi="Calibri" w:eastAsia="宋体" w:cs="Times New Roman"/>
                <w:kern w:val="0"/>
                <w:szCs w:val="21"/>
              </w:rPr>
              <w:t>1</w:t>
            </w:r>
            <w:r>
              <w:rPr>
                <w:rFonts w:ascii="Times New Roman" w:hAnsi="宋体" w:eastAsia="宋体" w:cs="Times New Roman"/>
                <w:kern w:val="0"/>
                <w:szCs w:val="21"/>
              </w:rPr>
              <w:t>、</w:t>
            </w:r>
            <w:r>
              <w:rPr>
                <w:rFonts w:hint="eastAsia" w:ascii="Times New Roman" w:hAnsi="宋体" w:eastAsia="宋体" w:cs="Times New Roman"/>
                <w:kern w:val="0"/>
                <w:szCs w:val="21"/>
              </w:rPr>
              <w:t>市场整治经费</w:t>
            </w:r>
          </w:p>
        </w:tc>
        <w:tc>
          <w:tcPr>
            <w:tcW w:w="2624" w:type="dxa"/>
            <w:tcBorders>
              <w:top w:val="single" w:color="auto" w:sz="4" w:space="0"/>
              <w:bottom w:val="single" w:color="auto" w:sz="4" w:space="0"/>
            </w:tcBorders>
            <w:vAlign w:val="center"/>
          </w:tcPr>
          <w:p>
            <w:pPr>
              <w:widowControl/>
              <w:spacing w:line="240" w:lineRule="exact"/>
              <w:jc w:val="center"/>
              <w:rPr>
                <w:rFonts w:ascii="Times New Roman" w:hAnsi="Calibri" w:eastAsia="宋体" w:cs="Times New Roman"/>
                <w:kern w:val="0"/>
                <w:szCs w:val="21"/>
              </w:rPr>
            </w:pPr>
            <w:r>
              <w:rPr>
                <w:rFonts w:hint="eastAsia" w:ascii="Times New Roman" w:hAnsi="宋体" w:eastAsia="宋体" w:cs="Times New Roman"/>
                <w:kern w:val="0"/>
                <w:szCs w:val="21"/>
              </w:rPr>
              <w:t>2020年1月1日</w:t>
            </w:r>
            <w:r>
              <w:rPr>
                <w:rFonts w:ascii="Times New Roman" w:hAnsi="宋体" w:eastAsia="宋体" w:cs="Times New Roman"/>
                <w:kern w:val="0"/>
                <w:szCs w:val="21"/>
              </w:rPr>
              <w:t>　</w:t>
            </w:r>
          </w:p>
        </w:tc>
        <w:tc>
          <w:tcPr>
            <w:tcW w:w="2444" w:type="dxa"/>
            <w:gridSpan w:val="2"/>
            <w:tcBorders>
              <w:top w:val="single" w:color="auto" w:sz="4" w:space="0"/>
              <w:bottom w:val="single" w:color="auto" w:sz="4" w:space="0"/>
              <w:right w:val="single" w:color="auto" w:sz="4" w:space="0"/>
            </w:tcBorders>
            <w:vAlign w:val="center"/>
          </w:tcPr>
          <w:p>
            <w:pPr>
              <w:widowControl/>
              <w:spacing w:line="240" w:lineRule="exact"/>
              <w:jc w:val="center"/>
              <w:rPr>
                <w:rFonts w:ascii="Times New Roman" w:hAnsi="Calibri" w:eastAsia="宋体" w:cs="Times New Roman"/>
                <w:kern w:val="0"/>
                <w:szCs w:val="21"/>
              </w:rPr>
            </w:pPr>
            <w:r>
              <w:rPr>
                <w:rFonts w:ascii="Times New Roman" w:hAnsi="宋体" w:eastAsia="宋体" w:cs="Times New Roman"/>
                <w:kern w:val="0"/>
                <w:szCs w:val="21"/>
              </w:rPr>
              <w:t>　</w:t>
            </w:r>
            <w:r>
              <w:rPr>
                <w:rFonts w:hint="eastAsia" w:ascii="Times New Roman" w:hAnsi="宋体" w:eastAsia="宋体" w:cs="Times New Roman"/>
                <w:kern w:val="0"/>
                <w:szCs w:val="21"/>
              </w:rPr>
              <w:t>2020年12月31日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27" w:type="dxa"/>
            <w:gridSpan w:val="2"/>
            <w:vMerge w:val="continue"/>
            <w:tcBorders>
              <w:top w:val="single" w:color="auto" w:sz="4" w:space="0"/>
              <w:left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979" w:type="dxa"/>
            <w:tcBorders>
              <w:top w:val="single" w:color="auto" w:sz="4" w:space="0"/>
              <w:bottom w:val="single" w:color="auto" w:sz="4" w:space="0"/>
            </w:tcBorders>
            <w:vAlign w:val="center"/>
          </w:tcPr>
          <w:p>
            <w:pPr>
              <w:widowControl/>
              <w:spacing w:line="240" w:lineRule="exact"/>
              <w:ind w:firstLine="105" w:firstLineChars="50"/>
              <w:rPr>
                <w:rFonts w:ascii="Times New Roman" w:hAnsi="Calibri" w:eastAsia="宋体" w:cs="Times New Roman"/>
                <w:kern w:val="0"/>
                <w:szCs w:val="21"/>
              </w:rPr>
            </w:pPr>
          </w:p>
        </w:tc>
        <w:tc>
          <w:tcPr>
            <w:tcW w:w="2624" w:type="dxa"/>
            <w:tcBorders>
              <w:top w:val="single" w:color="auto" w:sz="4" w:space="0"/>
              <w:bottom w:val="single" w:color="auto" w:sz="4" w:space="0"/>
            </w:tcBorders>
            <w:vAlign w:val="center"/>
          </w:tcPr>
          <w:p>
            <w:pPr>
              <w:widowControl/>
              <w:spacing w:line="240" w:lineRule="exact"/>
              <w:jc w:val="center"/>
              <w:rPr>
                <w:rFonts w:ascii="Times New Roman" w:hAnsi="Calibri" w:eastAsia="宋体" w:cs="Times New Roman"/>
                <w:kern w:val="0"/>
                <w:szCs w:val="21"/>
              </w:rPr>
            </w:pPr>
          </w:p>
        </w:tc>
        <w:tc>
          <w:tcPr>
            <w:tcW w:w="2444" w:type="dxa"/>
            <w:gridSpan w:val="2"/>
            <w:tcBorders>
              <w:top w:val="single" w:color="auto" w:sz="4" w:space="0"/>
              <w:bottom w:val="single" w:color="auto" w:sz="4" w:space="0"/>
              <w:right w:val="single" w:color="auto" w:sz="4" w:space="0"/>
            </w:tcBorders>
            <w:vAlign w:val="center"/>
          </w:tcPr>
          <w:p>
            <w:pPr>
              <w:widowControl/>
              <w:spacing w:line="240" w:lineRule="exact"/>
              <w:jc w:val="center"/>
              <w:rPr>
                <w:rFonts w:ascii="Times New Roman" w:hAnsi="Calibri" w:eastAsia="宋体" w:cs="Times New Roman"/>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2827" w:type="dxa"/>
            <w:gridSpan w:val="2"/>
            <w:tcBorders>
              <w:top w:val="single" w:color="auto" w:sz="4" w:space="0"/>
              <w:left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专项长期绩效目标</w:t>
            </w:r>
          </w:p>
        </w:tc>
        <w:tc>
          <w:tcPr>
            <w:tcW w:w="7047" w:type="dxa"/>
            <w:gridSpan w:val="4"/>
            <w:tcBorders>
              <w:top w:val="single" w:color="auto" w:sz="4" w:space="0"/>
              <w:bottom w:val="single" w:color="auto" w:sz="4" w:space="0"/>
              <w:right w:val="single" w:color="auto" w:sz="4" w:space="0"/>
            </w:tcBorders>
            <w:vAlign w:val="center"/>
          </w:tcPr>
          <w:p>
            <w:pPr>
              <w:widowControl/>
              <w:spacing w:line="360" w:lineRule="exact"/>
              <w:ind w:firstLine="210" w:firstLineChars="100"/>
              <w:rPr>
                <w:rFonts w:ascii="Times New Roman" w:hAnsi="Calibri" w:eastAsia="宋体" w:cs="Times New Roman"/>
                <w:kern w:val="0"/>
                <w:szCs w:val="21"/>
              </w:rPr>
            </w:pPr>
            <w:r>
              <w:rPr>
                <w:rFonts w:hint="eastAsia" w:ascii="Times New Roman" w:hAnsi="Calibri" w:eastAsia="宋体" w:cs="Times New Roman"/>
                <w:kern w:val="0"/>
                <w:szCs w:val="21"/>
              </w:rPr>
              <w:t>严格执法巡查、加大违法建设整治力度。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7" w:hRule="exact"/>
          <w:jc w:val="center"/>
        </w:trPr>
        <w:tc>
          <w:tcPr>
            <w:tcW w:w="282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专项年度绩效目标</w:t>
            </w:r>
          </w:p>
        </w:tc>
        <w:tc>
          <w:tcPr>
            <w:tcW w:w="7047"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ind w:firstLine="210" w:firstLineChars="100"/>
              <w:rPr>
                <w:rFonts w:ascii="Times New Roman" w:hAnsi="Calibri" w:eastAsia="宋体" w:cs="Times New Roman"/>
                <w:kern w:val="0"/>
                <w:szCs w:val="21"/>
              </w:rPr>
            </w:pPr>
            <w:r>
              <w:rPr>
                <w:rFonts w:hint="eastAsia" w:ascii="Times New Roman" w:hAnsi="Calibri" w:eastAsia="宋体" w:cs="Times New Roman"/>
                <w:kern w:val="0"/>
                <w:szCs w:val="21"/>
              </w:rPr>
              <w:t>印发宣传单、各类政策资料，开展宣传工作。全面摸底、登记造册，及时发现和解决各项问题。</w:t>
            </w:r>
          </w:p>
          <w:p>
            <w:pPr>
              <w:widowControl/>
              <w:spacing w:line="360" w:lineRule="exact"/>
              <w:ind w:firstLine="210" w:firstLineChars="100"/>
              <w:rPr>
                <w:rFonts w:ascii="Times New Roman" w:hAnsi="Calibri" w:eastAsia="宋体" w:cs="Times New Roman"/>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restart"/>
            <w:tcBorders>
              <w:top w:val="single" w:color="auto" w:sz="4" w:space="0"/>
              <w:left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专项年度绩效指标</w:t>
            </w:r>
          </w:p>
        </w:tc>
        <w:tc>
          <w:tcPr>
            <w:tcW w:w="1440"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一级指标</w:t>
            </w:r>
          </w:p>
        </w:tc>
        <w:tc>
          <w:tcPr>
            <w:tcW w:w="1979"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二级指标</w:t>
            </w:r>
          </w:p>
        </w:tc>
        <w:tc>
          <w:tcPr>
            <w:tcW w:w="2624"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指标内容</w:t>
            </w:r>
          </w:p>
        </w:tc>
        <w:tc>
          <w:tcPr>
            <w:tcW w:w="1360"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指标值</w:t>
            </w:r>
          </w:p>
        </w:tc>
        <w:tc>
          <w:tcPr>
            <w:tcW w:w="1084" w:type="dxa"/>
            <w:tcBorders>
              <w:top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tcBorders>
              <w:top w:val="single" w:color="auto" w:sz="4" w:space="0"/>
              <w:left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440" w:type="dxa"/>
            <w:vMerge w:val="restart"/>
            <w:tcBorders>
              <w:top w:val="single" w:color="auto" w:sz="4" w:space="0"/>
              <w:bottom w:val="single" w:color="auto" w:sz="4" w:space="0"/>
            </w:tcBorders>
            <w:textDirection w:val="tbRlV"/>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产出指标</w:t>
            </w:r>
          </w:p>
        </w:tc>
        <w:tc>
          <w:tcPr>
            <w:tcW w:w="1979"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数量指标</w:t>
            </w:r>
          </w:p>
        </w:tc>
        <w:tc>
          <w:tcPr>
            <w:tcW w:w="2624"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p>
        </w:tc>
        <w:tc>
          <w:tcPr>
            <w:tcW w:w="1360"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p>
        </w:tc>
        <w:tc>
          <w:tcPr>
            <w:tcW w:w="1084" w:type="dxa"/>
            <w:tcBorders>
              <w:top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tcBorders>
              <w:top w:val="single" w:color="auto" w:sz="4" w:space="0"/>
              <w:left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440" w:type="dxa"/>
            <w:vMerge w:val="continue"/>
            <w:tcBorders>
              <w:top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979"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质量指标</w:t>
            </w:r>
          </w:p>
        </w:tc>
        <w:tc>
          <w:tcPr>
            <w:tcW w:w="2624"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p>
        </w:tc>
        <w:tc>
          <w:tcPr>
            <w:tcW w:w="1360"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p>
        </w:tc>
        <w:tc>
          <w:tcPr>
            <w:tcW w:w="1084" w:type="dxa"/>
            <w:tcBorders>
              <w:top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tcBorders>
              <w:top w:val="single" w:color="auto" w:sz="4" w:space="0"/>
              <w:left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440" w:type="dxa"/>
            <w:vMerge w:val="continue"/>
            <w:tcBorders>
              <w:top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979"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时效指标</w:t>
            </w:r>
          </w:p>
        </w:tc>
        <w:tc>
          <w:tcPr>
            <w:tcW w:w="2624"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r>
              <w:rPr>
                <w:rFonts w:hint="eastAsia" w:ascii="Times New Roman" w:hAnsi="宋体" w:eastAsia="宋体" w:cs="Times New Roman"/>
                <w:kern w:val="0"/>
                <w:szCs w:val="21"/>
              </w:rPr>
              <w:t xml:space="preserve">全年 </w:t>
            </w:r>
            <w:r>
              <w:rPr>
                <w:rFonts w:ascii="Times New Roman" w:hAnsi="宋体" w:eastAsia="宋体" w:cs="Times New Roman"/>
                <w:kern w:val="0"/>
                <w:szCs w:val="21"/>
              </w:rPr>
              <w:t>　</w:t>
            </w:r>
          </w:p>
        </w:tc>
        <w:tc>
          <w:tcPr>
            <w:tcW w:w="1360"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r>
              <w:rPr>
                <w:rFonts w:hint="eastAsia" w:ascii="Times New Roman" w:hAnsi="Calibri" w:eastAsia="宋体" w:cs="Times New Roman"/>
                <w:kern w:val="0"/>
                <w:szCs w:val="21"/>
              </w:rPr>
              <w:t>2020年</w:t>
            </w:r>
          </w:p>
        </w:tc>
        <w:tc>
          <w:tcPr>
            <w:tcW w:w="1084" w:type="dxa"/>
            <w:tcBorders>
              <w:top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tcBorders>
              <w:top w:val="single" w:color="auto" w:sz="4" w:space="0"/>
              <w:left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440" w:type="dxa"/>
            <w:vMerge w:val="continue"/>
            <w:tcBorders>
              <w:top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979"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成本指标</w:t>
            </w:r>
          </w:p>
        </w:tc>
        <w:tc>
          <w:tcPr>
            <w:tcW w:w="2624"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p>
        </w:tc>
        <w:tc>
          <w:tcPr>
            <w:tcW w:w="1360"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p>
        </w:tc>
        <w:tc>
          <w:tcPr>
            <w:tcW w:w="1084" w:type="dxa"/>
            <w:tcBorders>
              <w:top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tcBorders>
              <w:top w:val="single" w:color="auto" w:sz="4" w:space="0"/>
              <w:left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440" w:type="dxa"/>
            <w:vMerge w:val="restart"/>
            <w:tcBorders>
              <w:top w:val="single" w:color="auto" w:sz="4" w:space="0"/>
              <w:bottom w:val="single" w:color="auto" w:sz="4" w:space="0"/>
            </w:tcBorders>
            <w:textDirection w:val="tbRlV"/>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效益指标</w:t>
            </w:r>
          </w:p>
        </w:tc>
        <w:tc>
          <w:tcPr>
            <w:tcW w:w="1979"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经济效益指标</w:t>
            </w:r>
          </w:p>
        </w:tc>
        <w:tc>
          <w:tcPr>
            <w:tcW w:w="2624"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c>
          <w:tcPr>
            <w:tcW w:w="1360"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p>
        </w:tc>
        <w:tc>
          <w:tcPr>
            <w:tcW w:w="1084" w:type="dxa"/>
            <w:tcBorders>
              <w:top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1387" w:type="dxa"/>
            <w:vMerge w:val="continue"/>
            <w:tcBorders>
              <w:top w:val="single" w:color="auto" w:sz="4" w:space="0"/>
              <w:left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440" w:type="dxa"/>
            <w:vMerge w:val="continue"/>
            <w:tcBorders>
              <w:top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979"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社会效益指标</w:t>
            </w:r>
          </w:p>
        </w:tc>
        <w:tc>
          <w:tcPr>
            <w:tcW w:w="2624"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r>
              <w:rPr>
                <w:rFonts w:hint="eastAsia" w:ascii="Times New Roman" w:hAnsi="宋体" w:eastAsia="宋体" w:cs="Times New Roman"/>
                <w:kern w:val="0"/>
                <w:szCs w:val="21"/>
              </w:rPr>
              <w:t>建设美丽沅江，使城市居民生活幸福度上升。</w:t>
            </w:r>
          </w:p>
        </w:tc>
        <w:tc>
          <w:tcPr>
            <w:tcW w:w="1360"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p>
        </w:tc>
        <w:tc>
          <w:tcPr>
            <w:tcW w:w="1084" w:type="dxa"/>
            <w:tcBorders>
              <w:top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tcBorders>
              <w:top w:val="single" w:color="auto" w:sz="4" w:space="0"/>
              <w:left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440" w:type="dxa"/>
            <w:vMerge w:val="continue"/>
            <w:tcBorders>
              <w:top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979"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生态效益指标</w:t>
            </w:r>
          </w:p>
        </w:tc>
        <w:tc>
          <w:tcPr>
            <w:tcW w:w="2624"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　</w:t>
            </w:r>
          </w:p>
        </w:tc>
        <w:tc>
          <w:tcPr>
            <w:tcW w:w="1360"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p>
        </w:tc>
        <w:tc>
          <w:tcPr>
            <w:tcW w:w="1084" w:type="dxa"/>
            <w:tcBorders>
              <w:top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87" w:type="dxa"/>
            <w:vMerge w:val="continue"/>
            <w:tcBorders>
              <w:top w:val="single" w:color="auto" w:sz="4" w:space="0"/>
              <w:left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440" w:type="dxa"/>
            <w:vMerge w:val="continue"/>
            <w:tcBorders>
              <w:top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979"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可持续影响指标</w:t>
            </w:r>
          </w:p>
        </w:tc>
        <w:tc>
          <w:tcPr>
            <w:tcW w:w="2624"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r>
              <w:rPr>
                <w:rFonts w:ascii="Times New Roman" w:hAnsi="宋体" w:eastAsia="宋体" w:cs="Times New Roman"/>
                <w:kern w:val="0"/>
                <w:szCs w:val="21"/>
              </w:rPr>
              <w:t>　</w:t>
            </w:r>
          </w:p>
        </w:tc>
        <w:tc>
          <w:tcPr>
            <w:tcW w:w="1360"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p>
        </w:tc>
        <w:tc>
          <w:tcPr>
            <w:tcW w:w="1084" w:type="dxa"/>
            <w:tcBorders>
              <w:top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6" w:hRule="exact"/>
          <w:jc w:val="center"/>
        </w:trPr>
        <w:tc>
          <w:tcPr>
            <w:tcW w:w="1387" w:type="dxa"/>
            <w:vMerge w:val="continue"/>
            <w:tcBorders>
              <w:top w:val="single" w:color="auto" w:sz="4" w:space="0"/>
              <w:left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440" w:type="dxa"/>
            <w:vMerge w:val="continue"/>
            <w:tcBorders>
              <w:top w:val="single" w:color="auto" w:sz="4" w:space="0"/>
              <w:bottom w:val="single" w:color="auto" w:sz="4" w:space="0"/>
            </w:tcBorders>
            <w:vAlign w:val="center"/>
          </w:tcPr>
          <w:p>
            <w:pPr>
              <w:widowControl/>
              <w:spacing w:line="360" w:lineRule="exact"/>
              <w:jc w:val="left"/>
              <w:rPr>
                <w:rFonts w:ascii="Times New Roman" w:hAnsi="Calibri" w:eastAsia="宋体" w:cs="Times New Roman"/>
                <w:kern w:val="0"/>
                <w:sz w:val="24"/>
                <w:szCs w:val="22"/>
              </w:rPr>
            </w:pPr>
          </w:p>
        </w:tc>
        <w:tc>
          <w:tcPr>
            <w:tcW w:w="1979"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社会公众或服务</w:t>
            </w:r>
          </w:p>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对象满意度指标</w:t>
            </w:r>
          </w:p>
        </w:tc>
        <w:tc>
          <w:tcPr>
            <w:tcW w:w="2624"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Cs w:val="21"/>
              </w:rPr>
            </w:pPr>
            <w:r>
              <w:rPr>
                <w:rFonts w:hint="eastAsia" w:ascii="Times New Roman" w:hAnsi="宋体" w:eastAsia="宋体" w:cs="Times New Roman"/>
                <w:kern w:val="0"/>
                <w:szCs w:val="21"/>
              </w:rPr>
              <w:t>完成全年工作目标，做好全湘北市场工作，建设美丽沅江。</w:t>
            </w:r>
          </w:p>
        </w:tc>
        <w:tc>
          <w:tcPr>
            <w:tcW w:w="1360" w:type="dxa"/>
            <w:tcBorders>
              <w:top w:val="single" w:color="auto" w:sz="4" w:space="0"/>
              <w:bottom w:val="single" w:color="auto" w:sz="4" w:space="0"/>
            </w:tcBorders>
            <w:vAlign w:val="center"/>
          </w:tcPr>
          <w:p>
            <w:pPr>
              <w:widowControl/>
              <w:spacing w:line="360" w:lineRule="exact"/>
              <w:jc w:val="center"/>
              <w:rPr>
                <w:rFonts w:ascii="Times New Roman" w:hAnsi="Calibri" w:eastAsia="宋体" w:cs="Times New Roman"/>
                <w:kern w:val="0"/>
                <w:sz w:val="24"/>
                <w:szCs w:val="22"/>
              </w:rPr>
            </w:pPr>
          </w:p>
        </w:tc>
        <w:tc>
          <w:tcPr>
            <w:tcW w:w="1084" w:type="dxa"/>
            <w:tcBorders>
              <w:top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2" w:hRule="exact"/>
          <w:jc w:val="center"/>
        </w:trPr>
        <w:tc>
          <w:tcPr>
            <w:tcW w:w="282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专项实施保障措施</w:t>
            </w:r>
          </w:p>
        </w:tc>
        <w:tc>
          <w:tcPr>
            <w:tcW w:w="7047"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Calibri" w:eastAsia="宋体" w:cs="Times New Roman"/>
                <w:kern w:val="0"/>
                <w:szCs w:val="21"/>
              </w:rPr>
            </w:pPr>
            <w:r>
              <w:rPr>
                <w:rFonts w:ascii="Times New Roman" w:hAnsi="Calibri" w:eastAsia="宋体" w:cs="Times New Roman"/>
                <w:kern w:val="0"/>
                <w:szCs w:val="21"/>
              </w:rPr>
              <w:t>1</w:t>
            </w:r>
            <w:r>
              <w:rPr>
                <w:rFonts w:ascii="Times New Roman" w:hAnsi="宋体" w:eastAsia="宋体" w:cs="Times New Roman"/>
                <w:kern w:val="0"/>
                <w:szCs w:val="21"/>
              </w:rPr>
              <w:t>：</w:t>
            </w:r>
            <w:r>
              <w:rPr>
                <w:rFonts w:hint="eastAsia" w:ascii="Times New Roman" w:hAnsi="宋体" w:eastAsia="宋体" w:cs="Times New Roman"/>
                <w:kern w:val="0"/>
                <w:szCs w:val="21"/>
              </w:rPr>
              <w:t>印发宣传单、各类政策资料，开展宣传工作。</w:t>
            </w:r>
          </w:p>
          <w:p>
            <w:pPr>
              <w:spacing w:line="360" w:lineRule="exact"/>
              <w:rPr>
                <w:rFonts w:ascii="Times New Roman" w:hAnsi="宋体" w:eastAsia="宋体" w:cs="Times New Roman"/>
                <w:kern w:val="0"/>
                <w:szCs w:val="21"/>
              </w:rPr>
            </w:pPr>
            <w:r>
              <w:rPr>
                <w:rFonts w:ascii="Times New Roman" w:hAnsi="Calibri" w:eastAsia="宋体" w:cs="Times New Roman"/>
                <w:kern w:val="0"/>
                <w:szCs w:val="21"/>
              </w:rPr>
              <w:t>2</w:t>
            </w:r>
            <w:r>
              <w:rPr>
                <w:rFonts w:ascii="Times New Roman" w:hAnsi="宋体" w:eastAsia="宋体" w:cs="Times New Roman"/>
                <w:kern w:val="0"/>
                <w:szCs w:val="21"/>
              </w:rPr>
              <w:t>：</w:t>
            </w:r>
            <w:r>
              <w:rPr>
                <w:rFonts w:hint="eastAsia" w:ascii="Times New Roman" w:hAnsi="宋体" w:eastAsia="宋体" w:cs="Times New Roman"/>
                <w:kern w:val="0"/>
                <w:szCs w:val="21"/>
              </w:rPr>
              <w:t>全面摸底、登记造册，及时发现和解决各项问题。</w:t>
            </w:r>
          </w:p>
          <w:p>
            <w:pPr>
              <w:widowControl/>
              <w:spacing w:line="360" w:lineRule="exact"/>
              <w:rPr>
                <w:rFonts w:ascii="Times New Roman" w:hAnsi="Calibri" w:eastAsia="宋体" w:cs="Times New Roman"/>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06" w:hRule="atLeast"/>
          <w:jc w:val="center"/>
        </w:trPr>
        <w:tc>
          <w:tcPr>
            <w:tcW w:w="2827"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财政部门审核意见</w:t>
            </w:r>
          </w:p>
        </w:tc>
        <w:tc>
          <w:tcPr>
            <w:tcW w:w="704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Times New Roman" w:hAnsi="Calibri" w:eastAsia="宋体" w:cs="Times New Roman"/>
                <w:kern w:val="0"/>
                <w:sz w:val="24"/>
                <w:szCs w:val="22"/>
              </w:rPr>
            </w:pPr>
            <w:r>
              <w:rPr>
                <w:rFonts w:ascii="Times New Roman" w:hAnsi="Calibri" w:eastAsia="宋体" w:cs="Times New Roman"/>
                <w:kern w:val="0"/>
                <w:sz w:val="24"/>
                <w:szCs w:val="22"/>
              </w:rPr>
              <w:t xml:space="preserve">                                </w:t>
            </w:r>
          </w:p>
          <w:p>
            <w:pPr>
              <w:widowControl/>
              <w:spacing w:line="360" w:lineRule="exact"/>
              <w:jc w:val="left"/>
              <w:rPr>
                <w:rFonts w:ascii="Times New Roman" w:hAnsi="Calibri" w:eastAsia="宋体" w:cs="Times New Roman"/>
                <w:kern w:val="0"/>
                <w:sz w:val="24"/>
                <w:szCs w:val="22"/>
              </w:rPr>
            </w:pPr>
          </w:p>
          <w:p>
            <w:pPr>
              <w:widowControl/>
              <w:spacing w:line="360" w:lineRule="exact"/>
              <w:jc w:val="left"/>
              <w:rPr>
                <w:rFonts w:ascii="Times New Roman" w:hAnsi="Calibri" w:eastAsia="宋体" w:cs="Times New Roman"/>
                <w:kern w:val="0"/>
                <w:sz w:val="24"/>
                <w:szCs w:val="22"/>
              </w:rPr>
            </w:pPr>
          </w:p>
          <w:p>
            <w:pPr>
              <w:widowControl/>
              <w:spacing w:line="360" w:lineRule="exact"/>
              <w:jc w:val="left"/>
              <w:rPr>
                <w:rFonts w:ascii="Times New Roman" w:hAnsi="Calibri" w:eastAsia="宋体" w:cs="Times New Roman"/>
                <w:kern w:val="0"/>
                <w:sz w:val="24"/>
                <w:szCs w:val="22"/>
              </w:rPr>
            </w:pPr>
          </w:p>
          <w:p>
            <w:pPr>
              <w:widowControl/>
              <w:spacing w:line="360" w:lineRule="exact"/>
              <w:jc w:val="left"/>
              <w:rPr>
                <w:rFonts w:ascii="Times New Roman" w:hAnsi="Calibri" w:eastAsia="宋体" w:cs="Times New Roman"/>
                <w:kern w:val="0"/>
                <w:sz w:val="24"/>
                <w:szCs w:val="22"/>
              </w:rPr>
            </w:pPr>
            <w:r>
              <w:rPr>
                <w:rFonts w:ascii="Times New Roman" w:hAnsi="Calibri" w:eastAsia="宋体" w:cs="Times New Roman"/>
                <w:kern w:val="0"/>
                <w:sz w:val="24"/>
                <w:szCs w:val="22"/>
              </w:rPr>
              <w:t xml:space="preserve">                                    </w:t>
            </w:r>
            <w:r>
              <w:rPr>
                <w:rFonts w:ascii="Times New Roman" w:hAnsi="宋体" w:eastAsia="宋体" w:cs="Times New Roman"/>
                <w:kern w:val="0"/>
                <w:sz w:val="24"/>
                <w:szCs w:val="22"/>
              </w:rPr>
              <w:t>（盖章）</w:t>
            </w:r>
          </w:p>
          <w:p>
            <w:pPr>
              <w:widowControl/>
              <w:spacing w:line="360" w:lineRule="exact"/>
              <w:jc w:val="center"/>
              <w:rPr>
                <w:rFonts w:ascii="Times New Roman" w:hAnsi="Calibri" w:eastAsia="宋体" w:cs="Times New Roman"/>
                <w:kern w:val="0"/>
                <w:sz w:val="24"/>
                <w:szCs w:val="22"/>
              </w:rPr>
            </w:pPr>
            <w:r>
              <w:rPr>
                <w:rFonts w:ascii="Times New Roman" w:hAnsi="Calibri" w:eastAsia="宋体" w:cs="Times New Roman"/>
                <w:kern w:val="0"/>
                <w:sz w:val="24"/>
                <w:szCs w:val="22"/>
              </w:rPr>
              <w:t xml:space="preserve">                       </w:t>
            </w:r>
            <w:r>
              <w:rPr>
                <w:rFonts w:ascii="Times New Roman" w:hAnsi="宋体" w:eastAsia="宋体" w:cs="Times New Roman"/>
                <w:kern w:val="0"/>
                <w:sz w:val="24"/>
                <w:szCs w:val="22"/>
              </w:rPr>
              <w:t>年</w:t>
            </w:r>
            <w:r>
              <w:rPr>
                <w:rFonts w:ascii="Times New Roman" w:hAnsi="Calibri" w:eastAsia="宋体" w:cs="Times New Roman"/>
                <w:kern w:val="0"/>
                <w:sz w:val="24"/>
                <w:szCs w:val="22"/>
              </w:rPr>
              <w:t xml:space="preserve">   </w:t>
            </w:r>
            <w:r>
              <w:rPr>
                <w:rFonts w:ascii="Times New Roman" w:hAnsi="宋体" w:eastAsia="宋体" w:cs="Times New Roman"/>
                <w:kern w:val="0"/>
                <w:sz w:val="24"/>
                <w:szCs w:val="22"/>
              </w:rPr>
              <w:t>月</w:t>
            </w:r>
            <w:r>
              <w:rPr>
                <w:rFonts w:ascii="Times New Roman" w:hAnsi="Calibri" w:eastAsia="宋体" w:cs="Times New Roman"/>
                <w:kern w:val="0"/>
                <w:sz w:val="24"/>
                <w:szCs w:val="22"/>
              </w:rPr>
              <w:t xml:space="preserve">   </w:t>
            </w:r>
            <w:r>
              <w:rPr>
                <w:rFonts w:ascii="Times New Roman" w:hAnsi="宋体" w:eastAsia="宋体" w:cs="Times New Roman"/>
                <w:kern w:val="0"/>
                <w:sz w:val="24"/>
                <w:szCs w:val="22"/>
              </w:rPr>
              <w:t>日</w:t>
            </w:r>
          </w:p>
        </w:tc>
      </w:tr>
    </w:tbl>
    <w:p>
      <w:pPr>
        <w:widowControl/>
        <w:tabs>
          <w:tab w:val="left" w:pos="2970"/>
          <w:tab w:val="left" w:pos="6493"/>
        </w:tabs>
        <w:spacing w:line="400" w:lineRule="exact"/>
        <w:jc w:val="center"/>
        <w:rPr>
          <w:rFonts w:ascii="Times New Roman" w:hAnsi="Calibri" w:eastAsia="宋体" w:cs="Times New Roman"/>
          <w:kern w:val="0"/>
          <w:sz w:val="24"/>
          <w:szCs w:val="22"/>
        </w:rPr>
      </w:pPr>
      <w:r>
        <w:rPr>
          <w:rFonts w:ascii="Times New Roman" w:hAnsi="宋体" w:eastAsia="宋体" w:cs="Times New Roman"/>
          <w:kern w:val="0"/>
          <w:sz w:val="24"/>
          <w:szCs w:val="22"/>
        </w:rPr>
        <w:t>填报人：</w:t>
      </w:r>
      <w:r>
        <w:rPr>
          <w:rFonts w:hint="eastAsia" w:ascii="Times New Roman" w:hAnsi="宋体" w:eastAsia="宋体" w:cs="Times New Roman"/>
          <w:kern w:val="0"/>
          <w:sz w:val="24"/>
          <w:szCs w:val="22"/>
        </w:rPr>
        <w:t>陈璇</w:t>
      </w:r>
      <w:r>
        <w:rPr>
          <w:rFonts w:hint="eastAsia" w:ascii="Times New Roman" w:hAnsi="Calibri" w:eastAsia="宋体" w:cs="Times New Roman"/>
          <w:kern w:val="0"/>
          <w:sz w:val="24"/>
          <w:szCs w:val="22"/>
        </w:rPr>
        <w:t xml:space="preserve">       </w:t>
      </w:r>
      <w:r>
        <w:rPr>
          <w:rFonts w:ascii="Times New Roman" w:hAnsi="宋体" w:eastAsia="宋体" w:cs="Times New Roman"/>
          <w:kern w:val="0"/>
          <w:sz w:val="24"/>
          <w:szCs w:val="22"/>
        </w:rPr>
        <w:t>联系电话：</w:t>
      </w:r>
      <w:r>
        <w:rPr>
          <w:rFonts w:hint="eastAsia" w:ascii="Times New Roman" w:hAnsi="宋体" w:eastAsia="宋体" w:cs="Times New Roman"/>
          <w:kern w:val="0"/>
          <w:sz w:val="24"/>
          <w:szCs w:val="22"/>
        </w:rPr>
        <w:t>13874343872</w:t>
      </w:r>
      <w:r>
        <w:rPr>
          <w:rFonts w:ascii="Times New Roman" w:hAnsi="Calibri" w:eastAsia="宋体" w:cs="Times New Roman"/>
          <w:kern w:val="0"/>
          <w:sz w:val="24"/>
          <w:szCs w:val="22"/>
        </w:rPr>
        <w:t xml:space="preserve">    </w:t>
      </w:r>
      <w:r>
        <w:rPr>
          <w:rFonts w:ascii="Times New Roman" w:hAnsi="宋体" w:eastAsia="宋体" w:cs="Times New Roman"/>
          <w:kern w:val="0"/>
          <w:sz w:val="24"/>
          <w:szCs w:val="22"/>
        </w:rPr>
        <w:t>填报日期：</w:t>
      </w:r>
      <w:r>
        <w:rPr>
          <w:rFonts w:hint="eastAsia" w:ascii="Times New Roman" w:hAnsi="宋体" w:eastAsia="宋体" w:cs="Times New Roman"/>
          <w:kern w:val="0"/>
          <w:sz w:val="24"/>
          <w:szCs w:val="22"/>
        </w:rPr>
        <w:t>2020年2月28日</w:t>
      </w:r>
    </w:p>
    <w:p>
      <w:pPr>
        <w:ind w:firstLine="640" w:firstLineChars="200"/>
        <w:jc w:val="left"/>
        <w:rPr>
          <w:rFonts w:ascii="仿宋" w:hAnsi="宋体" w:eastAsia="仿宋" w:cs="宋体"/>
          <w:color w:val="0000FF"/>
          <w:kern w:val="0"/>
          <w:sz w:val="32"/>
          <w:szCs w:val="22"/>
          <w:u w:val="single"/>
        </w:rPr>
      </w:pPr>
    </w:p>
    <w:p>
      <w:pPr>
        <w:widowControl/>
        <w:shd w:val="clear" w:color="auto" w:fill="FFFFFF"/>
        <w:spacing w:before="120" w:line="432" w:lineRule="atLeast"/>
        <w:jc w:val="left"/>
        <w:rPr>
          <w:rFonts w:ascii="仿宋" w:hAnsi="仿宋" w:eastAsia="仿宋" w:cs="仿宋"/>
          <w:kern w:val="0"/>
          <w:sz w:val="32"/>
          <w:szCs w:val="32"/>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3E909"/>
    <w:multiLevelType w:val="singleLevel"/>
    <w:tmpl w:val="B7B3E909"/>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132E6C"/>
    <w:rsid w:val="00076828"/>
    <w:rsid w:val="00132E6C"/>
    <w:rsid w:val="001F5027"/>
    <w:rsid w:val="00425418"/>
    <w:rsid w:val="0050381B"/>
    <w:rsid w:val="0051604E"/>
    <w:rsid w:val="00533F30"/>
    <w:rsid w:val="00670A74"/>
    <w:rsid w:val="006C7FBA"/>
    <w:rsid w:val="00DF239E"/>
    <w:rsid w:val="00E44C82"/>
    <w:rsid w:val="00E52EFB"/>
    <w:rsid w:val="00F20266"/>
    <w:rsid w:val="06E547A0"/>
    <w:rsid w:val="0D002E1D"/>
    <w:rsid w:val="15BB37EC"/>
    <w:rsid w:val="34355398"/>
    <w:rsid w:val="44BA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9</Pages>
  <Words>3069</Words>
  <Characters>3179</Characters>
  <Lines>28</Lines>
  <Paragraphs>7</Paragraphs>
  <TotalTime>1</TotalTime>
  <ScaleCrop>false</ScaleCrop>
  <LinksUpToDate>false</LinksUpToDate>
  <CharactersWithSpaces>3514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2022-09-01T08:36:00Z</dcterms:created>
  <dc:creator>tangh</dc:creator>
  <cp:lastModifiedBy>tmy</cp:lastModifiedBy>
  <dcterms:modified xsi:type="dcterms:W3CDTF">2023-10-09T03:43:01Z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1800AC08198B438F8A4BC43B604935E7_12</vt:lpwstr>
  </property>
</Properties>
</file>