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center"/>
        <w:textAlignment w:val="baseline"/>
        <w:rPr>
          <w:rStyle w:val="4"/>
          <w:rFonts w:ascii="黑体" w:hAnsi="黑体" w:eastAsia="黑体"/>
          <w:color w:val="000000"/>
          <w:kern w:val="2"/>
          <w:sz w:val="30"/>
          <w:szCs w:val="30"/>
          <w:lang w:val="en-US" w:eastAsia="zh-CN" w:bidi="ar-SA"/>
        </w:rPr>
      </w:pPr>
      <w:bookmarkStart w:id="0" w:name="_GoBack"/>
      <w:bookmarkEnd w:id="0"/>
      <w:r>
        <w:rPr>
          <w:rStyle w:val="4"/>
          <w:rFonts w:ascii="仿宋" w:hAnsi="仿宋" w:eastAsia="仿宋" w:cs="宋体"/>
          <w:b/>
          <w:bCs/>
          <w:color w:val="FF0000"/>
          <w:kern w:val="0"/>
          <w:sz w:val="32"/>
          <w:szCs w:val="32"/>
          <w:lang w:val="en-US" w:eastAsia="zh-CN" w:bidi="ar-SA"/>
        </w:rPr>
        <w:br w:type="textWrapping" w:clear="all"/>
      </w:r>
    </w:p>
    <w:p>
      <w:pPr>
        <w:widowControl/>
        <w:shd w:val="clear" w:color="auto" w:fill="FFFFFF"/>
        <w:spacing w:before="100" w:beforeAutospacing="1" w:after="100" w:afterAutospacing="1"/>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简体" w:hAnsi="微软雅黑" w:eastAsia="方正小标宋简体"/>
          <w:color w:val="000000"/>
          <w:kern w:val="0"/>
          <w:sz w:val="44"/>
          <w:szCs w:val="44"/>
          <w:lang w:val="en-US" w:eastAsia="zh-CN" w:bidi="ar-SA"/>
        </w:rPr>
        <w:t>第一部分  单位概况</w:t>
      </w:r>
    </w:p>
    <w:p>
      <w:pPr>
        <w:widowControl/>
        <w:shd w:val="clear" w:color="auto" w:fill="FFFFFF"/>
        <w:spacing w:before="100" w:beforeAutospacing="1" w:after="100" w:afterAutospacing="1" w:line="600" w:lineRule="atLeast"/>
        <w:ind w:firstLine="880"/>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_GBK" w:hAnsi="方正小标宋_GBK" w:eastAsia="微软雅黑"/>
          <w:color w:val="000000"/>
          <w:kern w:val="0"/>
          <w:sz w:val="44"/>
          <w:szCs w:val="44"/>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一．主要职能</w:t>
      </w:r>
    </w:p>
    <w:p>
      <w:pPr>
        <w:widowControl/>
        <w:shd w:val="clear" w:color="auto" w:fill="FFFFFF"/>
        <w:spacing w:line="600" w:lineRule="atLeast"/>
        <w:ind w:firstLine="450"/>
        <w:jc w:val="left"/>
        <w:textAlignment w:val="baseline"/>
        <w:rPr>
          <w:rStyle w:val="4"/>
          <w:rFonts w:ascii="微软雅黑" w:hAnsi="微软雅黑" w:eastAsia="微软雅黑"/>
          <w:color w:val="000000"/>
          <w:kern w:val="0"/>
          <w:sz w:val="20"/>
          <w:szCs w:val="20"/>
          <w:lang w:val="en-US" w:eastAsia="zh-CN" w:bidi="ar-SA"/>
        </w:rPr>
      </w:pPr>
      <w:r>
        <w:rPr>
          <w:rStyle w:val="4"/>
          <w:rFonts w:ascii="仿宋_GB2312" w:hAnsi="微软雅黑" w:eastAsia="仿宋_GB2312"/>
          <w:color w:val="000000"/>
          <w:kern w:val="0"/>
          <w:sz w:val="32"/>
          <w:szCs w:val="32"/>
          <w:lang w:val="en-US" w:eastAsia="zh-CN" w:bidi="ar-SA"/>
        </w:rPr>
        <w:t>1、负责组织对全市重大事项的调查和审议。2、沅江市人民代表大会闭会期间，根据市委的提名，组织对市人民政府组成人员、纪委监委、市检察院和市法院有关人员的职务任免。3、负责组织对“一府一委二院”的法律监督和工作监督。4、组织走访人大代表及人大代表视察、调查等活动。5、负责组织召开沅江市人民代表大会会议、人大常委员会会议、主任会议及人大换届选举等工作。6、指导镇人大主席团、街道人大联络组工作和代表小组活动，加强与镇人大主席团、街道人大联络组、人大代表的联系。7、负责收集人民代表大会代表所提议案、建议、批评和意见，及时转办、督办落实，作出答复，搞好议案汇编。</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二．机构情况</w:t>
      </w:r>
    </w:p>
    <w:p>
      <w:pPr>
        <w:widowControl/>
        <w:shd w:val="clear" w:color="auto" w:fill="FFFFFF"/>
        <w:spacing w:before="100" w:beforeAutospacing="1" w:after="100" w:afterAutospacing="1" w:line="600" w:lineRule="atLeast"/>
        <w:ind w:firstLine="570"/>
        <w:jc w:val="left"/>
        <w:textAlignment w:val="baseline"/>
        <w:rPr>
          <w:rStyle w:val="4"/>
          <w:rFonts w:ascii="微软雅黑" w:hAnsi="微软雅黑" w:eastAsia="微软雅黑"/>
          <w:color w:val="000000"/>
          <w:kern w:val="0"/>
          <w:sz w:val="20"/>
          <w:szCs w:val="20"/>
          <w:lang w:val="en-US" w:eastAsia="zh-CN" w:bidi="ar-SA"/>
        </w:rPr>
      </w:pPr>
      <w:r>
        <w:rPr>
          <w:rStyle w:val="4"/>
          <w:rFonts w:ascii="仿宋_GB2312" w:hAnsi="微软雅黑" w:eastAsia="仿宋_GB2312"/>
          <w:color w:val="000000"/>
          <w:kern w:val="0"/>
          <w:sz w:val="32"/>
          <w:szCs w:val="32"/>
          <w:lang w:val="en-US" w:eastAsia="zh-CN" w:bidi="ar-SA"/>
        </w:rPr>
        <w:t>根据沅江市机构编制委员会核定，本机关内设2个办事机构（办公室、选举任免联络工作委员会）、7个专门委员会（财政经济委员会、社会建设委员会、农业与农村委员会、教育科学文化卫生委员会、环境与资源保护委员会、监察和司法委员会、民族华侨外事委员会），公务员及参公人员26人，事业编制1人，工勤人员3人，派驻市</w:t>
      </w:r>
      <w:r>
        <w:rPr>
          <w:rStyle w:val="4"/>
          <w:rFonts w:hint="eastAsia" w:ascii="仿宋_GB2312" w:hAnsi="微软雅黑" w:eastAsia="仿宋_GB2312"/>
          <w:color w:val="000000"/>
          <w:kern w:val="0"/>
          <w:sz w:val="32"/>
          <w:szCs w:val="32"/>
          <w:lang w:val="en-US" w:eastAsia="zh-CN" w:bidi="ar-SA"/>
        </w:rPr>
        <w:t>人大常委会机关</w:t>
      </w:r>
      <w:r>
        <w:rPr>
          <w:rStyle w:val="4"/>
          <w:rFonts w:ascii="仿宋_GB2312" w:hAnsi="微软雅黑" w:eastAsia="仿宋_GB2312"/>
          <w:color w:val="000000"/>
          <w:kern w:val="0"/>
          <w:sz w:val="32"/>
          <w:szCs w:val="32"/>
          <w:lang w:val="en-US" w:eastAsia="zh-CN" w:bidi="ar-SA"/>
        </w:rPr>
        <w:t>纪检监察组4人（编制在纪委，经费预算在人大），退休人员37人。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三、部门决算单位构成</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从决算单位构成看，决算编报类型为单户表。</w:t>
      </w:r>
    </w:p>
    <w:p>
      <w:pPr>
        <w:widowControl/>
        <w:shd w:val="clear" w:color="auto" w:fill="FFFFFF"/>
        <w:spacing w:before="100" w:beforeAutospacing="1" w:after="100" w:afterAutospacing="1" w:line="600" w:lineRule="atLeast"/>
        <w:ind w:firstLine="8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8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jc w:val="center"/>
        <w:textAlignment w:val="baseline"/>
        <w:rPr>
          <w:rStyle w:val="4"/>
          <w:rFonts w:ascii="微软雅黑" w:hAnsi="微软雅黑" w:eastAsia="微软雅黑"/>
          <w:color w:val="000000"/>
          <w:kern w:val="0"/>
          <w:sz w:val="20"/>
          <w:szCs w:val="20"/>
          <w:lang w:val="en-US" w:eastAsia="zh-CN" w:bidi="ar-SA"/>
        </w:rPr>
      </w:pPr>
      <w:r>
        <w:rPr>
          <w:rStyle w:val="4"/>
          <w:rFonts w:ascii="宋体" w:hAnsi="宋体" w:cs="宋体"/>
          <w:b/>
          <w:bCs/>
          <w:color w:val="000000"/>
          <w:kern w:val="0"/>
          <w:sz w:val="44"/>
          <w:szCs w:val="44"/>
          <w:lang w:val="en-US" w:eastAsia="zh-CN" w:bidi="ar-SA"/>
        </w:rPr>
        <w:t> </w:t>
      </w:r>
      <w:r>
        <w:rPr>
          <w:rStyle w:val="4"/>
          <w:rFonts w:ascii="方正小标宋简体" w:hAnsi="微软雅黑" w:eastAsia="方正小标宋简体"/>
          <w:color w:val="000000"/>
          <w:kern w:val="0"/>
          <w:sz w:val="44"/>
          <w:szCs w:val="44"/>
          <w:lang w:val="en-US" w:eastAsia="zh-CN" w:bidi="ar-SA"/>
        </w:rPr>
        <w:t>第二部分  2019年度部门决算表</w:t>
      </w:r>
    </w:p>
    <w:p>
      <w:pPr>
        <w:widowControl/>
        <w:shd w:val="clear" w:color="auto" w:fill="FFFFFF"/>
        <w:spacing w:before="100" w:beforeAutospacing="1" w:after="100" w:afterAutospacing="1" w:line="400" w:lineRule="atLeast"/>
        <w:ind w:firstLine="640"/>
        <w:jc w:val="both"/>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表1：收入支出决算总表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表2：收入决算表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表3：支出决算表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表4：财政拨款收入支出决算总表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表5：一般公共预算财政拨款支出决算表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表6：一般公共预算财政拨款基本支出决算表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表7：一般公共预算财政拨款“三公”经费支出决算表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表8：政府性基金预算财政拨款收入支出决算表（本单位没有政府性基金收入，也没有政府性基金安排的支出，故本表无数据。）</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s="宋体"/>
          <w:b/>
          <w:bCs/>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后附Excel表：</w:t>
      </w:r>
      <w:r>
        <w:rPr>
          <w:rStyle w:val="4"/>
          <w:rFonts w:ascii="仿宋" w:hAnsi="仿宋" w:eastAsia="仿宋"/>
          <w:color w:val="000000"/>
          <w:kern w:val="0"/>
          <w:sz w:val="32"/>
          <w:szCs w:val="32"/>
          <w:lang w:val="en-US" w:eastAsia="zh-CN" w:bidi="ar-SA"/>
        </w:rPr>
        <w:t>2019年度人大部门决算公开表7.30</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8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br w:type="textWrapping" w:clear="all"/>
      </w:r>
    </w:p>
    <w:p>
      <w:pPr>
        <w:widowControl/>
        <w:shd w:val="clear" w:color="auto" w:fill="FFFFFF"/>
        <w:spacing w:before="100" w:beforeAutospacing="1" w:after="100" w:afterAutospacing="1"/>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简体" w:hAnsi="微软雅黑" w:eastAsia="方正小标宋简体"/>
          <w:color w:val="000000"/>
          <w:kern w:val="0"/>
          <w:sz w:val="44"/>
          <w:szCs w:val="44"/>
          <w:lang w:val="en-US" w:eastAsia="zh-CN" w:bidi="ar-SA"/>
        </w:rPr>
        <w:t>第三部分  2019年度部门决算情况说明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一、关于沅江市人民代表大会常务委员会2019年度收入支出决算总体情况说明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2019年度收入总计890.12万元，比上年同期增加8.29万元，增长0.94%；支出总计907.45万元，比上年同期减少15.57万元，下降1.69%。主要原因：压缩基本开支。</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二、关于沅江市人民代表大会常务委员会2019年度收入决算情况说明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2019年度收入合计890.12万元，其中：财政拨款收入873.99万元，占98.19%；其他收入16.13万元，占1.81%.</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三、关于沅江市人民代表大会常务委员会2019年度支出决算情况说明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2019年度支出合计907.45万元，其中：基本支出539.19万元，占59.42%；项目支出368.25万元，占40.58%。</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四、关于沅江市人民代表大会常务委员会2019年度财政拨款收入支出决算总体情况说明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财政拨款收入总计873.99万元，比上年同期增加4.28万元，增长0.49%；财政拨款支出总计891.31万元，比上年同期减少19.58万元，下降2.15%。主要原因：加强了年初预算编制的准确性，规范了支出管理，压缩基本开支。</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五、关于沅江市人民代表大会常务委员会2019</w:t>
      </w: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年度一般公共预算财政拨款收入支出决算情况说明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（一）一般公共预算财政拨款收入支出决算总体情况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一般公共预算财政拨款收入总计873.99万元，比上年同期增加4.28万元，增长0.49%；一般公共预算财政拨款支出总计891.31万元，比上年同期减少19.58万元，下降2.15%。主要原因：加强了年初预算编制的准确性，规范了支出管理，压缩基本开支。</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（二）一般公共预算财政拨款支出决算构成情况</w:t>
      </w:r>
    </w:p>
    <w:p>
      <w:pPr>
        <w:widowControl/>
        <w:shd w:val="clear" w:color="auto" w:fill="FFFFFF"/>
        <w:spacing w:before="100" w:beforeAutospacing="1" w:after="100" w:afterAutospacing="1" w:line="600" w:lineRule="atLeast"/>
        <w:ind w:firstLine="48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2019年度</w:t>
      </w:r>
      <w:r>
        <w:rPr>
          <w:rStyle w:val="4"/>
          <w:rFonts w:ascii="楷体" w:hAnsi="楷体" w:eastAsia="楷体"/>
          <w:color w:val="000000"/>
          <w:kern w:val="0"/>
          <w:sz w:val="32"/>
          <w:szCs w:val="32"/>
          <w:lang w:val="en-US" w:eastAsia="zh-CN" w:bidi="ar-SA"/>
        </w:rPr>
        <w:t>一般公共预算财政拨款</w:t>
      </w:r>
      <w:r>
        <w:rPr>
          <w:rStyle w:val="4"/>
          <w:rFonts w:ascii="仿宋" w:hAnsi="仿宋" w:eastAsia="仿宋"/>
          <w:color w:val="000000"/>
          <w:kern w:val="0"/>
          <w:sz w:val="32"/>
          <w:szCs w:val="32"/>
          <w:lang w:val="en-US" w:eastAsia="zh-CN" w:bidi="ar-SA"/>
        </w:rPr>
        <w:t>支出891.31万元，其中：基本支出538.25万元，占60.39%；项目支出353.06万元，占39.61%。</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（三）一般公共预算财政拨款支出决算具体情况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w:t>
      </w:r>
      <w:r>
        <w:rPr>
          <w:rStyle w:val="4"/>
          <w:rFonts w:eastAsia="微软雅黑"/>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一般公共服务支出财政拨款支出828.07万元，占</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92.90%，主要用于行政运行、一般行政管理事务、人大会议、人大监督、其他人大事务。</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社会保障和就业支出财政拨款支出32.14万元，占</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3.61%，主要用于死亡抚恤。</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3.</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住房保障支出财政拨款支出31.1万元，占3.49%，主要用于住房公积金。</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六、关于沅江市人民代表大会常务委员会2019年度一般公共预算财政拨款基本支出决算情况说明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年度一般公共预算财政拨款基本支出538.25万元。其中人员经费支出</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496.99万元，主要包括：基本工资、津贴补贴、奖金、机关事业单位基本养老保险缴费、职工基本医疗保险缴费、其他社会保障缴费、住房公积金、退休费、抚恤金、生活补助、奖励金、其他对个人和家庭的补助；公用经费支出41.26万元，主要包括：办公费、印刷费、邮电费、差旅费、维修(护)费、会议费、培训费、公务接待费、劳务费、工会经费、其他交通费用。</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七、关于沅江市人民代表大会常务委员会2019年度政府性基金预算财政拨款支出决算情况说明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沅江市人民代表大会常务委员会2019年年度没有政府性基金预算财政拨款收入支出。</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八、关于沅江市人民代表大会常务委员会2019年度一般公共预算财政拨款“三公”经费支出决算情况说明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（一）“三公”经费财政拨款支出决算总体情况说明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2019年度“三公”经费财政拨款支出预算为6万元，支出决算为3.52万元，完成预算的58.67%，其中：公务接待费支出决算为</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3.52万元，完成预算的58.67%。2019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年度“三公”经费支出决算数小于预算数的主要原因：严格按照市财政局制定的公务接待管理办法，坚持勤俭节约，规范了支出管理。</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（二）“三公”经费财政拨款支出决算具体情况说明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年度“三公”经费财政拨款支出决算为3.52万元，其中：公务接待费支出决算为</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3.52万元，占100%，比去年同期减少2.96万元。2019</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年度“三公”经费支出决算数小于上年决算数的主要原因：压缩三公经费。</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1、公务接待情况说明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公务接待支出3.52万元，国内公务接待70批次，接待658人。接待支出主要用于机关接待。</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九、关于</w:t>
      </w: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2019</w:t>
      </w:r>
      <w:r>
        <w:rPr>
          <w:rStyle w:val="4"/>
          <w:rFonts w:ascii="宋体" w:hAnsi="宋体"/>
          <w:color w:val="000000"/>
          <w:kern w:val="0"/>
          <w:sz w:val="32"/>
          <w:szCs w:val="32"/>
          <w:lang w:val="en-US" w:eastAsia="zh-CN" w:bidi="ar-SA"/>
        </w:rPr>
        <w:t> </w:t>
      </w:r>
      <w:r>
        <w:rPr>
          <w:rStyle w:val="4"/>
          <w:rFonts w:ascii="黑体" w:hAnsi="黑体" w:eastAsia="黑体"/>
          <w:color w:val="000000"/>
          <w:kern w:val="0"/>
          <w:sz w:val="32"/>
          <w:szCs w:val="32"/>
          <w:lang w:val="en-US" w:eastAsia="zh-CN" w:bidi="ar-SA"/>
        </w:rPr>
        <w:t>年度预算绩效情况说明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（一）绩效管理工作开展情况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从（1）服务常委会履行人事任免职能（2）服务常委会履行讨论决定重大事项职能（3）服务常务会加强自身建设（4）服务常委会履行监督职能等四个方面对人大专项业务资金开展了绩效评价，深入开展了“农产品质量安全行”、“三湘农民健康行”、“环保世纪行”和“民族团结进步行”等系列活动，均收到了较好效果。</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（二）部门决算中项目绩效自评结果</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项目支出368.25万元。①人大专项业务支出338.25万元，其中监督、执法、各委室调研等经费71.99万元，人大常委会议和主任会议20万元，文印及通讯12.2万元，扶贫、党建、老干等中心工作专项27万元，人大培训43万元，代表活动经费26.6万元，十七届人大第三次会议69.46万元，预算联网监督经费68万元；②“四行”30万元，其中三湘农产品质量安全行6万元，民族团结进步行10万元，环保世纪行4万元，三湘农民健康行10万元。</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（三）以部门为主体开展的重点绩效评价结果</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（1）一般行政管理事务支出主要用于保障</w:t>
      </w:r>
      <w:r>
        <w:rPr>
          <w:rStyle w:val="4"/>
          <w:rFonts w:hint="eastAsia" w:ascii="仿宋" w:hAnsi="仿宋" w:eastAsia="仿宋"/>
          <w:color w:val="000000"/>
          <w:kern w:val="0"/>
          <w:sz w:val="32"/>
          <w:szCs w:val="32"/>
          <w:lang w:val="en-US" w:eastAsia="zh-CN" w:bidi="ar-SA"/>
        </w:rPr>
        <w:t>人大常委会机关</w:t>
      </w:r>
      <w:r>
        <w:rPr>
          <w:rStyle w:val="4"/>
          <w:rFonts w:ascii="仿宋" w:hAnsi="仿宋" w:eastAsia="仿宋"/>
          <w:color w:val="000000"/>
          <w:kern w:val="0"/>
          <w:sz w:val="32"/>
          <w:szCs w:val="32"/>
          <w:lang w:val="en-US" w:eastAsia="zh-CN" w:bidi="ar-SA"/>
        </w:rPr>
        <w:t>正常运行；</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（2）人大监督调研支出主要用于保障依法履行监督职能。</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（3）“四行”支出主要用于人大常委会环保世纪行等“四行”经费保障。</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（四）预算绩效情况的说明</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1、管理制度健全。已制定相应的项目资金管理办法，项目资金管理办法符合相关财务会计制度的规定。</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2、资金使用合规。资金使用合规，支出依据规范，无虚列支出，无截留、挤占、挪用等现象。</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3、财务内控有效。已制定相应的内控机制，采取了相应的财务检查等必要的内控措施，财务及资产管理制度健全且能有效执行，会计核算规范。</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黑体" w:hAnsi="黑体" w:eastAsia="黑体"/>
          <w:color w:val="000000"/>
          <w:kern w:val="0"/>
          <w:sz w:val="32"/>
          <w:szCs w:val="32"/>
          <w:lang w:val="en-US" w:eastAsia="zh-CN" w:bidi="ar-SA"/>
        </w:rPr>
        <w:t>十、其他重要事项的情况说明</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（一）预决算收支增减变化情况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2019年度预算收入总计606.56万元，比上年同期减少14.15万元，下降2.28%；预算支出总计606.56万元，比上年同期减少14.15万元，下降2.28%。</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2019年度决算收入总计890.12万元，比上年同期增加8.29万元，增长0.94%；决算支出总计907.45万元，比上年同期减少15.57万元，下降1.69%。主要原因：加强了年初预算编制的准确性，规范了支出管理，压缩基本开支。</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（二）机关运行经费支出情况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本部门2019年度机关运行经费支出41.26万元，较上年减少45.17万元，下降52.26%，主要原因是：压缩基本开支。</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（三）政府采购支出情况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本部门2019年度政府采购137.46万元，其中，政府采购货物支出118.66万元，政府采购工程支出18.8万元。其中中小企业占政府采购比例100％。</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楷体" w:hAnsi="楷体" w:eastAsia="楷体"/>
          <w:color w:val="000000"/>
          <w:kern w:val="0"/>
          <w:sz w:val="32"/>
          <w:szCs w:val="32"/>
          <w:lang w:val="en-US" w:eastAsia="zh-CN" w:bidi="ar-SA"/>
        </w:rPr>
        <w:t>（四）国有资产占用情况</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截至2019年12月31日，本部门共有车辆0辆，单位价值50万元以上通用设备0台(套)，单价100万正以上专用设备0台(套!</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jc w:val="center"/>
        <w:textAlignment w:val="baseline"/>
        <w:rPr>
          <w:rStyle w:val="4"/>
          <w:rFonts w:ascii="微软雅黑" w:hAnsi="微软雅黑" w:eastAsia="微软雅黑"/>
          <w:color w:val="000000"/>
          <w:kern w:val="0"/>
          <w:sz w:val="20"/>
          <w:szCs w:val="20"/>
          <w:lang w:val="en-US" w:eastAsia="zh-CN" w:bidi="ar-SA"/>
        </w:rPr>
      </w:pPr>
      <w:r>
        <w:rPr>
          <w:rStyle w:val="4"/>
          <w:rFonts w:ascii="方正小标宋简体" w:hAnsi="微软雅黑" w:eastAsia="方正小标宋简体"/>
          <w:color w:val="000000"/>
          <w:kern w:val="0"/>
          <w:sz w:val="44"/>
          <w:szCs w:val="44"/>
          <w:lang w:val="en-US" w:eastAsia="zh-CN" w:bidi="ar-SA"/>
        </w:rPr>
        <w:t>第四部分 名词解释</w:t>
      </w:r>
    </w:p>
    <w:p>
      <w:pPr>
        <w:widowControl/>
        <w:shd w:val="clear" w:color="auto" w:fill="FFFFFF"/>
        <w:spacing w:before="100" w:beforeAutospacing="1" w:after="100" w:afterAutospacing="1" w:line="4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宋体" w:hAnsi="宋体" w:cs="宋体"/>
          <w:b/>
          <w:bCs/>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一、财政拨款收入：</w:t>
      </w:r>
      <w:r>
        <w:rPr>
          <w:rStyle w:val="4"/>
          <w:rFonts w:ascii="仿宋" w:hAnsi="仿宋" w:eastAsia="仿宋"/>
          <w:color w:val="000000"/>
          <w:kern w:val="0"/>
          <w:sz w:val="32"/>
          <w:szCs w:val="32"/>
          <w:lang w:val="en-US" w:eastAsia="zh-CN" w:bidi="ar-SA"/>
        </w:rPr>
        <w:t>指中央财政当年拨付的资金。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二、事业收入：</w:t>
      </w:r>
      <w:r>
        <w:rPr>
          <w:rStyle w:val="4"/>
          <w:rFonts w:ascii="仿宋" w:hAnsi="仿宋" w:eastAsia="仿宋"/>
          <w:color w:val="000000"/>
          <w:kern w:val="0"/>
          <w:sz w:val="32"/>
          <w:szCs w:val="32"/>
          <w:lang w:val="en-US" w:eastAsia="zh-CN" w:bidi="ar-SA"/>
        </w:rPr>
        <w:t>指事业单位开展专业业务活动及辅助活动所取得的收入。如：中国财政杂志社的刊物发行收入，中国注册会计师协会、中国资产评估协会、中国国债协会、中国会计学会收取的会费收入等。</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三、经营收入：</w:t>
      </w:r>
      <w:r>
        <w:rPr>
          <w:rStyle w:val="4"/>
          <w:rFonts w:ascii="仿宋" w:hAnsi="仿宋" w:eastAsia="仿宋"/>
          <w:color w:val="000000"/>
          <w:kern w:val="0"/>
          <w:sz w:val="32"/>
          <w:szCs w:val="32"/>
          <w:lang w:val="en-US" w:eastAsia="zh-CN" w:bidi="ar-SA"/>
        </w:rPr>
        <w:t>指事业单位在专业业务活动及其辅助活动之外开展非独立核算经营活动取得的收入。如：中国财政杂志社广告收入等。</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四、其他收入：</w:t>
      </w:r>
      <w:r>
        <w:rPr>
          <w:rStyle w:val="4"/>
          <w:rFonts w:ascii="仿宋" w:hAnsi="仿宋" w:eastAsia="仿宋"/>
          <w:color w:val="000000"/>
          <w:kern w:val="0"/>
          <w:sz w:val="32"/>
          <w:szCs w:val="32"/>
          <w:lang w:val="en-US" w:eastAsia="zh-CN" w:bidi="ar-SA"/>
        </w:rPr>
        <w:t>指除上述“财政拨款收入”</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“事业收入”</w:t>
      </w:r>
      <w:r>
        <w:rPr>
          <w:rStyle w:val="4"/>
          <w:rFonts w:ascii="宋体" w:hAnsi="宋体"/>
          <w:color w:val="000000"/>
          <w:kern w:val="0"/>
          <w:sz w:val="32"/>
          <w:szCs w:val="32"/>
          <w:lang w:val="en-US" w:eastAsia="zh-CN" w:bidi="ar-SA"/>
        </w:rPr>
        <w:t> </w:t>
      </w:r>
      <w:r>
        <w:rPr>
          <w:rStyle w:val="4"/>
          <w:rFonts w:ascii="仿宋" w:hAnsi="仿宋" w:eastAsia="仿宋"/>
          <w:color w:val="000000"/>
          <w:kern w:val="0"/>
          <w:sz w:val="32"/>
          <w:szCs w:val="32"/>
          <w:lang w:val="en-US" w:eastAsia="zh-CN" w:bidi="ar-SA"/>
        </w:rPr>
        <w:t>、“经营收入”等以外的收入。主要是按规定动用的售房收入、存款利息收入等。</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五、用事业基金弥补收支差额：</w:t>
      </w:r>
      <w:r>
        <w:rPr>
          <w:rStyle w:val="4"/>
          <w:rFonts w:ascii="仿宋" w:hAnsi="仿宋" w:eastAsia="仿宋"/>
          <w:color w:val="000000"/>
          <w:kern w:val="0"/>
          <w:sz w:val="32"/>
          <w:szCs w:val="32"/>
          <w:lang w:val="en-US" w:eastAsia="zh-CN" w:bidi="ar-SA"/>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六、年初结转和结余：</w:t>
      </w:r>
      <w:r>
        <w:rPr>
          <w:rStyle w:val="4"/>
          <w:rFonts w:ascii="仿宋" w:hAnsi="仿宋" w:eastAsia="仿宋"/>
          <w:color w:val="000000"/>
          <w:kern w:val="0"/>
          <w:sz w:val="32"/>
          <w:szCs w:val="32"/>
          <w:lang w:val="en-US" w:eastAsia="zh-CN" w:bidi="ar-SA"/>
        </w:rPr>
        <w:t>指以前年度尚未完成、结转到本年按有关规定继续使用的资金。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七、结余分配：</w:t>
      </w:r>
      <w:r>
        <w:rPr>
          <w:rStyle w:val="4"/>
          <w:rFonts w:ascii="仿宋" w:hAnsi="仿宋" w:eastAsia="仿宋"/>
          <w:color w:val="000000"/>
          <w:kern w:val="0"/>
          <w:sz w:val="32"/>
          <w:szCs w:val="32"/>
          <w:lang w:val="en-US" w:eastAsia="zh-CN" w:bidi="ar-SA"/>
        </w:rPr>
        <w:t>指事业单位按规定提取的职工福利基金、事业基金和缴纳的所得税，以及建设单位按规定应交回的基本建设竣工项目结余资金。</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八、年末结转和结余：</w:t>
      </w:r>
      <w:r>
        <w:rPr>
          <w:rStyle w:val="4"/>
          <w:rFonts w:ascii="仿宋" w:hAnsi="仿宋" w:eastAsia="仿宋"/>
          <w:color w:val="000000"/>
          <w:kern w:val="0"/>
          <w:sz w:val="32"/>
          <w:szCs w:val="32"/>
          <w:lang w:val="en-US" w:eastAsia="zh-CN" w:bidi="ar-SA"/>
        </w:rPr>
        <w:t>指本年度或以前年度预算安排、因客观条件发生变化无法按原计划实施，需要延迟到以后年度按有关规定继续使用的资金。</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九、基本支出：</w:t>
      </w:r>
      <w:r>
        <w:rPr>
          <w:rStyle w:val="4"/>
          <w:rFonts w:ascii="仿宋" w:hAnsi="仿宋" w:eastAsia="仿宋"/>
          <w:color w:val="000000"/>
          <w:kern w:val="0"/>
          <w:sz w:val="32"/>
          <w:szCs w:val="32"/>
          <w:lang w:val="en-US" w:eastAsia="zh-CN" w:bidi="ar-SA"/>
        </w:rPr>
        <w:t>指为保障机构正常运转、完成日常工</w:t>
      </w:r>
    </w:p>
    <w:p>
      <w:pPr>
        <w:widowControl/>
        <w:shd w:val="clear" w:color="auto" w:fill="FFFFFF"/>
        <w:spacing w:before="100" w:beforeAutospacing="1" w:after="100" w:afterAutospacing="1" w:line="600" w:lineRule="atLeast"/>
        <w:ind w:firstLine="640"/>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olor w:val="000000"/>
          <w:kern w:val="0"/>
          <w:sz w:val="32"/>
          <w:szCs w:val="32"/>
          <w:lang w:val="en-US" w:eastAsia="zh-CN" w:bidi="ar-SA"/>
        </w:rPr>
        <w:t>作任务而发生的人员支出和公用支出。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十、项目支出：</w:t>
      </w:r>
      <w:r>
        <w:rPr>
          <w:rStyle w:val="4"/>
          <w:rFonts w:ascii="仿宋" w:hAnsi="仿宋" w:eastAsia="仿宋"/>
          <w:color w:val="000000"/>
          <w:kern w:val="0"/>
          <w:sz w:val="32"/>
          <w:szCs w:val="32"/>
          <w:lang w:val="en-US" w:eastAsia="zh-CN" w:bidi="ar-SA"/>
        </w:rPr>
        <w:t>指在基本支出之外为完成特定行政任务和事业发展目标所发生的支出。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十一、经营支出：</w:t>
      </w:r>
      <w:r>
        <w:rPr>
          <w:rStyle w:val="4"/>
          <w:rFonts w:ascii="仿宋" w:hAnsi="仿宋" w:eastAsia="仿宋"/>
          <w:color w:val="000000"/>
          <w:kern w:val="0"/>
          <w:sz w:val="32"/>
          <w:szCs w:val="32"/>
          <w:lang w:val="en-US" w:eastAsia="zh-CN" w:bidi="ar-SA"/>
        </w:rPr>
        <w:t>指事业单位在专业业务活动及其辅助活动之外开展非独立核算经营活动发生的支出。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十二、“三公”经费：</w:t>
      </w:r>
      <w:r>
        <w:rPr>
          <w:rStyle w:val="4"/>
          <w:rFonts w:ascii="仿宋" w:hAnsi="仿宋" w:eastAsia="仿宋"/>
          <w:color w:val="000000"/>
          <w:kern w:val="0"/>
          <w:sz w:val="32"/>
          <w:szCs w:val="32"/>
          <w:lang w:val="en-US" w:eastAsia="zh-CN" w:bidi="ar-SA"/>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Style w:val="4"/>
          <w:rFonts w:ascii="宋体" w:hAnsi="宋体"/>
          <w:color w:val="000000"/>
          <w:kern w:val="0"/>
          <w:sz w:val="32"/>
          <w:szCs w:val="32"/>
          <w:lang w:val="en-US" w:eastAsia="zh-CN" w:bidi="ar-SA"/>
        </w:rPr>
        <w:t> </w:t>
      </w:r>
    </w:p>
    <w:p>
      <w:pPr>
        <w:widowControl/>
        <w:shd w:val="clear" w:color="auto" w:fill="FFFFFF"/>
        <w:spacing w:before="100" w:beforeAutospacing="1" w:after="100" w:afterAutospacing="1" w:line="600" w:lineRule="atLeast"/>
        <w:ind w:firstLine="643"/>
        <w:jc w:val="left"/>
        <w:textAlignment w:val="baseline"/>
        <w:rPr>
          <w:rStyle w:val="4"/>
          <w:rFonts w:ascii="微软雅黑" w:hAnsi="微软雅黑" w:eastAsia="微软雅黑"/>
          <w:color w:val="000000"/>
          <w:kern w:val="0"/>
          <w:sz w:val="20"/>
          <w:szCs w:val="20"/>
          <w:lang w:val="en-US" w:eastAsia="zh-CN" w:bidi="ar-SA"/>
        </w:rPr>
      </w:pPr>
      <w:r>
        <w:rPr>
          <w:rStyle w:val="4"/>
          <w:rFonts w:ascii="仿宋" w:hAnsi="仿宋" w:eastAsia="仿宋" w:cs="宋体"/>
          <w:b/>
          <w:bCs/>
          <w:color w:val="000000"/>
          <w:kern w:val="0"/>
          <w:sz w:val="32"/>
          <w:szCs w:val="32"/>
          <w:lang w:val="en-US" w:eastAsia="zh-CN" w:bidi="ar-SA"/>
        </w:rPr>
        <w:t>十三、机关运行经费：</w:t>
      </w:r>
      <w:r>
        <w:rPr>
          <w:rStyle w:val="4"/>
          <w:rFonts w:ascii="仿宋" w:hAnsi="仿宋" w:eastAsia="仿宋"/>
          <w:color w:val="000000"/>
          <w:kern w:val="0"/>
          <w:sz w:val="32"/>
          <w:szCs w:val="32"/>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both"/>
        <w:textAlignment w:val="baseline"/>
        <w:rPr>
          <w:rStyle w:val="4"/>
          <w:kern w:val="2"/>
          <w:sz w:val="21"/>
          <w:szCs w:val="22"/>
          <w:lang w:val="en-US" w:eastAsia="zh-CN" w:bidi="ar-SA"/>
        </w:rPr>
      </w:pPr>
    </w:p>
    <w:sectPr>
      <w:pgSz w:w="11906" w:h="16838"/>
      <w:pgMar w:top="1440" w:right="1800" w:bottom="1440" w:left="1800"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zgyMDg3M2ViZGRlODQ2MTk2MTU0ZjEzNzZkZGY5MmUifQ=="/>
  </w:docVars>
  <w:rsids>
    <w:rsidRoot w:val="00000000"/>
    <w:rsid w:val="00B91266"/>
    <w:rsid w:val="10CE4A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semiHidden/>
    <w:uiPriority w:val="0"/>
  </w:style>
  <w:style w:type="table" w:customStyle="1" w:styleId="5">
    <w:name w:val="TableNormal"/>
    <w:semiHidden/>
    <w:uiPriority w:val="0"/>
  </w:style>
  <w:style w:type="paragraph" w:customStyle="1" w:styleId="6">
    <w:name w:val="UserStyle_0"/>
    <w:basedOn w:val="1"/>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4110</Words>
  <Characters>4546</Characters>
  <TotalTime>1</TotalTime>
  <ScaleCrop>false</ScaleCrop>
  <LinksUpToDate>false</LinksUpToDate>
  <CharactersWithSpaces>4598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2023-10-09T00:37:37Z</dcterms:created>
  <dc:creator>Administrator</dc:creator>
  <cp:lastModifiedBy>tmy</cp:lastModifiedBy>
  <dcterms:modified xsi:type="dcterms:W3CDTF">2023-10-09T00:39:01Z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372D93B112894B089957944B5CD55ABA_12</vt:lpwstr>
  </property>
</Properties>
</file>