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153" w:beforeAutospacing="0" w:after="0" w:afterAutospacing="0" w:line="551" w:lineRule="atLeast"/>
        <w:ind w:firstLine="480"/>
        <w:jc w:val="center"/>
        <w:rPr>
          <w:rFonts w:ascii="华文中宋" w:hAnsi="华文中宋" w:eastAsia="华文中宋" w:cs="Times New Roman"/>
          <w:color w:val="333333"/>
          <w:sz w:val="36"/>
          <w:szCs w:val="36"/>
        </w:rPr>
      </w:pPr>
      <w:bookmarkStart w:id="0" w:name="_GoBack"/>
      <w:bookmarkEnd w:id="0"/>
    </w:p>
    <w:p>
      <w:pPr>
        <w:pStyle w:val="5"/>
        <w:shd w:val="clear" w:color="auto" w:fill="FFFFFF"/>
        <w:spacing w:before="153" w:beforeAutospacing="0" w:after="0" w:afterAutospacing="0" w:line="551" w:lineRule="atLeast"/>
        <w:ind w:firstLine="480"/>
        <w:jc w:val="center"/>
        <w:rPr>
          <w:rFonts w:ascii="Times New Roman" w:hAnsi="Times New Roman" w:cs="Times New Roman"/>
          <w:color w:val="333333"/>
          <w:sz w:val="21"/>
          <w:szCs w:val="21"/>
        </w:rPr>
      </w:pPr>
      <w:r>
        <w:rPr>
          <w:rFonts w:hint="eastAsia" w:ascii="华文中宋" w:hAnsi="华文中宋" w:eastAsia="华文中宋" w:cs="Times New Roman"/>
          <w:color w:val="333333"/>
          <w:sz w:val="36"/>
          <w:szCs w:val="36"/>
        </w:rPr>
        <w:t>沅江市司法局2019年度部门决算分析报告</w:t>
      </w:r>
    </w:p>
    <w:p>
      <w:pPr>
        <w:pStyle w:val="5"/>
        <w:shd w:val="clear" w:color="auto" w:fill="FFFFFF"/>
        <w:spacing w:before="153" w:beforeAutospacing="0" w:after="0" w:afterAutospacing="0" w:line="520" w:lineRule="atLeast"/>
        <w:jc w:val="both"/>
        <w:rPr>
          <w:rFonts w:ascii="Times New Roman" w:hAnsi="Times New Roman" w:cs="Times New Roman"/>
          <w:color w:val="333333"/>
          <w:sz w:val="21"/>
          <w:szCs w:val="21"/>
        </w:rPr>
      </w:pPr>
      <w:r>
        <w:rPr>
          <w:rFonts w:hint="eastAsia" w:ascii="黑体" w:hAnsi="黑体" w:eastAsia="黑体" w:cs="Times New Roman"/>
          <w:color w:val="333333"/>
          <w:sz w:val="32"/>
          <w:szCs w:val="32"/>
        </w:rPr>
        <w:t>一、部门（单位）情况</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（一）基本情况。</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1．主要职能。</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000000"/>
          <w:sz w:val="32"/>
          <w:szCs w:val="32"/>
          <w:shd w:val="clear" w:color="auto" w:fill="FFFFFF"/>
        </w:rPr>
        <w:t>（</w:t>
      </w:r>
      <w:r>
        <w:rPr>
          <w:rFonts w:hint="eastAsia" w:ascii="仿宋" w:hAnsi="仿宋" w:eastAsia="仿宋" w:cs="Times New Roman"/>
          <w:color w:val="333333"/>
          <w:sz w:val="32"/>
          <w:szCs w:val="32"/>
        </w:rPr>
        <w:t>一）贯彻执行国家和省有关司法行政工作的方针、政策和法律、法规、规章，拟订全市司法行政工作中长期发展规划和年度计划，并组织实施。</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（二）拟订全市法制宣传教育和法治沅江建设规划，并组织实施；指导全市普法、法治沅江建设工作。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（三）指导与监督全市的律师工作、公证工作、法律援助工作和面向社会的司法鉴定工作与企事业单位法律顾问工作。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（四）指导与监督全市基层人民调解、法律服务工作，参与社会管理综合治理工作，协调相关部门做好刑满释放人员的安置帮教工作。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五）负责对全市社区矫正工作的指导管理，组织实施、拟定社区矫正工作发展规划、管理制度，并组织实施、监督检查社区矫正法律法规和政策执行情况，实施对社区服刑人员的刑罚执行、监督管理、教育矫正和社会适应帮扶，指导开展社区矫正社会工作和志愿者服务。</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（六）领导、管理、指导全市基层司法所的各项司法行政工作。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（七）负责全市司法行政系统队伍建设、思想政治建设、教育培训工作。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（八）负责全市司法行政系统的财务及物资装备工作。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（九）负责市委法治沅江建设领导小组办公室工作。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（十）协助做好本行政区域内人民监督员的选任和管理工作。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（十一）承办市委、市政府及上级业务主管部门交办的其他事项。</w:t>
      </w:r>
    </w:p>
    <w:p>
      <w:pPr>
        <w:pStyle w:val="5"/>
        <w:shd w:val="clear" w:color="auto" w:fill="FFFFFF"/>
        <w:spacing w:beforeAutospacing="0" w:afterAutospacing="0" w:line="52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2．机构情况，2019年本单位内设股室12个，</w:t>
      </w:r>
      <w:r>
        <w:rPr>
          <w:rFonts w:hint="eastAsia" w:ascii="仿宋" w:hAnsi="仿宋" w:eastAsia="仿宋" w:cs="Times New Roman"/>
          <w:color w:val="000000"/>
          <w:sz w:val="32"/>
          <w:szCs w:val="32"/>
          <w:shd w:val="clear" w:color="auto" w:fill="FFFFFF"/>
        </w:rPr>
        <w:t>所属事业单位2个，全部纳入2019年部门预算编制范围。</w:t>
      </w:r>
      <w:r>
        <w:rPr>
          <w:rFonts w:ascii="Microsoft YaHei Western" w:hAnsi="Microsoft YaHei Western" w:cs="Times New Roman"/>
          <w:color w:val="000000"/>
          <w:sz w:val="32"/>
          <w:szCs w:val="32"/>
          <w:shd w:val="clear" w:color="auto" w:fill="FFFFFF"/>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3．人员情况。2019年本单位年未实有人数</w:t>
      </w:r>
      <w:r>
        <w:rPr>
          <w:rFonts w:hint="eastAsia" w:ascii="仿宋" w:hAnsi="仿宋" w:eastAsia="仿宋" w:cs="Times New Roman"/>
          <w:color w:val="333333"/>
          <w:sz w:val="28"/>
          <w:szCs w:val="28"/>
        </w:rPr>
        <w:t>84</w:t>
      </w:r>
      <w:r>
        <w:rPr>
          <w:rFonts w:hint="eastAsia" w:ascii="仿宋" w:hAnsi="仿宋" w:eastAsia="仿宋" w:cs="Times New Roman"/>
          <w:color w:val="333333"/>
          <w:sz w:val="32"/>
          <w:szCs w:val="32"/>
        </w:rPr>
        <w:t>人，比上年变动了（增加或减少）</w:t>
      </w:r>
      <w:r>
        <w:rPr>
          <w:rFonts w:hint="eastAsia" w:ascii="仿宋" w:hAnsi="仿宋" w:eastAsia="仿宋" w:cs="Times New Roman"/>
          <w:color w:val="333333"/>
          <w:sz w:val="28"/>
          <w:szCs w:val="28"/>
        </w:rPr>
        <w:t>-14</w:t>
      </w:r>
      <w:r>
        <w:rPr>
          <w:rFonts w:hint="eastAsia" w:ascii="仿宋" w:hAnsi="仿宋" w:eastAsia="仿宋" w:cs="Times New Roman"/>
          <w:color w:val="333333"/>
          <w:sz w:val="32"/>
          <w:szCs w:val="32"/>
        </w:rPr>
        <w:t>人。人员变化的主要原因是：退休干部未纳入预算。</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（二）当年取得的主要事业成效。</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概述部门（单位）工作开展情况及主要事业成效。</w:t>
      </w:r>
      <w:r>
        <w:rPr>
          <w:rFonts w:hint="eastAsia"/>
          <w:color w:val="333333"/>
          <w:sz w:val="32"/>
          <w:szCs w:val="32"/>
        </w:rPr>
        <w:t>         </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（一）党建引领筑牢队伍建设。</w:t>
      </w:r>
      <w:r>
        <w:rPr>
          <w:rFonts w:hint="eastAsia" w:ascii="仿宋" w:hAnsi="仿宋" w:eastAsia="仿宋" w:cs="Times New Roman"/>
          <w:color w:val="000000"/>
          <w:sz w:val="32"/>
          <w:szCs w:val="32"/>
          <w:shd w:val="clear" w:color="auto" w:fill="FFFFFF"/>
        </w:rPr>
        <w:t>通过学习政治理论、党的十九大精神、习近平</w:t>
      </w:r>
      <w:r>
        <w:rPr>
          <w:rFonts w:hint="eastAsia" w:ascii="仿宋" w:hAnsi="仿宋" w:eastAsia="仿宋" w:cs="Times New Roman"/>
          <w:color w:val="333333"/>
          <w:sz w:val="32"/>
          <w:szCs w:val="32"/>
        </w:rPr>
        <w:t>新时代中国特色社会化主义思想</w:t>
      </w:r>
      <w:r>
        <w:rPr>
          <w:rFonts w:hint="eastAsia" w:ascii="仿宋" w:hAnsi="仿宋" w:eastAsia="仿宋" w:cs="Times New Roman"/>
          <w:color w:val="000000"/>
          <w:sz w:val="32"/>
          <w:szCs w:val="32"/>
          <w:shd w:val="clear" w:color="auto" w:fill="FFFFFF"/>
        </w:rPr>
        <w:t>，开展</w:t>
      </w:r>
      <w:r>
        <w:rPr>
          <w:rFonts w:hint="eastAsia" w:ascii="仿宋" w:hAnsi="仿宋" w:eastAsia="仿宋" w:cs="Times New Roman"/>
          <w:color w:val="000000"/>
          <w:sz w:val="32"/>
          <w:szCs w:val="32"/>
          <w:shd w:val="clear" w:color="auto" w:fill="FFFFFF"/>
          <w:lang w:eastAsia="zh-CN"/>
        </w:rPr>
        <w:t>不忘初心，牢记使命</w:t>
      </w:r>
      <w:r>
        <w:rPr>
          <w:rFonts w:hint="eastAsia" w:ascii="仿宋" w:hAnsi="仿宋" w:eastAsia="仿宋" w:cs="Times New Roman"/>
          <w:color w:val="000000"/>
          <w:sz w:val="32"/>
          <w:szCs w:val="32"/>
          <w:shd w:val="clear" w:color="auto" w:fill="FFFFFF"/>
        </w:rPr>
        <w:t>主题教育。2019年组司法行政干警参加上级组织的视频讲座14期，先后派出25人（次）参加国家、省、市举办的各类培训，组织开展3期社区矫正技能培训，全年向上级报送各类案例48篇，提高了全体干部工作人员的业务素质。</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（二）人民调解筑牢第一防线。</w:t>
      </w:r>
      <w:r>
        <w:rPr>
          <w:rFonts w:hint="eastAsia" w:ascii="仿宋" w:hAnsi="仿宋" w:eastAsia="仿宋" w:cs="Times New Roman"/>
          <w:color w:val="333333"/>
          <w:sz w:val="32"/>
          <w:szCs w:val="32"/>
        </w:rPr>
        <w:t>到今年为止，我市15个乡镇单位和183个村（社区）都建立了人民调解组织，并进一步配齐配强基层司法所工作人员。今年6月，沅江市司法局高新技术产业园司法所挂牌办公，这标志着沅江市镇村两级调解组织实现了全覆盖，也从根本上消除了基层“无人所”和“一人所”。</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（三）普法宣传法治深入人心。</w:t>
      </w:r>
      <w:r>
        <w:rPr>
          <w:rFonts w:hint="eastAsia" w:ascii="仿宋" w:hAnsi="仿宋" w:eastAsia="仿宋" w:cs="Times New Roman"/>
          <w:color w:val="333333"/>
          <w:sz w:val="32"/>
          <w:szCs w:val="32"/>
        </w:rPr>
        <w:t>2019年，我局每月深入乡镇、部门、学校、企业、社区、机关等开展法治宣传教育活动，宣传活动通过采取现场咨询、悬挂横幅、摆放宣传展板、发放宣传手册、宣传车循环播放法律条文等形式，向广大市民宣传国家基本法律法规。共发放各类宣传资料70000余份，发放法律知识手册46000余本，宣传挂图13100余张，悬挂横幅500余条，摆放法治宣传展板487块，接受法律咨询2100多人次，增强了广大市民的法治意识，深受广大市民的好评。</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（四）社区矫正维护社会稳定。</w:t>
      </w:r>
      <w:r>
        <w:rPr>
          <w:rFonts w:hint="eastAsia" w:ascii="仿宋" w:hAnsi="仿宋" w:eastAsia="仿宋" w:cs="Times New Roman"/>
          <w:color w:val="333333"/>
          <w:sz w:val="32"/>
          <w:szCs w:val="32"/>
        </w:rPr>
        <w:t>2019年，我市共有在册社区矫正人员326人，其中缓刑299人，假释15人，暂予监外执行12人。共做审前调查254人次，入矫261人，解矫307人。</w:t>
      </w:r>
      <w:r>
        <w:rPr>
          <w:rFonts w:hint="eastAsia"/>
          <w:color w:val="333333"/>
          <w:sz w:val="32"/>
          <w:szCs w:val="32"/>
        </w:rPr>
        <w:t> </w:t>
      </w:r>
      <w:r>
        <w:rPr>
          <w:rFonts w:hint="eastAsia" w:ascii="仿宋" w:hAnsi="仿宋" w:eastAsia="仿宋" w:cs="Times New Roman"/>
          <w:color w:val="333333"/>
          <w:sz w:val="32"/>
          <w:szCs w:val="32"/>
        </w:rPr>
        <w:t>接收安置帮教对象</w:t>
      </w:r>
      <w:r>
        <w:rPr>
          <w:rFonts w:hint="eastAsia"/>
          <w:color w:val="333333"/>
          <w:sz w:val="32"/>
          <w:szCs w:val="32"/>
        </w:rPr>
        <w:t> </w:t>
      </w:r>
      <w:r>
        <w:rPr>
          <w:rFonts w:hint="eastAsia" w:ascii="仿宋" w:hAnsi="仿宋" w:eastAsia="仿宋" w:cs="仿宋"/>
          <w:color w:val="333333"/>
          <w:sz w:val="32"/>
          <w:szCs w:val="32"/>
        </w:rPr>
        <w:t>261</w:t>
      </w:r>
      <w:r>
        <w:rPr>
          <w:rFonts w:hint="eastAsia" w:ascii="仿宋" w:hAnsi="仿宋" w:eastAsia="仿宋" w:cs="Times New Roman"/>
          <w:color w:val="333333"/>
          <w:sz w:val="32"/>
          <w:szCs w:val="32"/>
        </w:rPr>
        <w:t>人（刑满释放），帮教率和安置率达100%。我局社区矫正工作在保证工作有序，程序合法，管理到位的基础上，结合上级部门相关要求，成立了沅江市司法局指挥中心，并成为“智慧矫正”工作开展的试点单位。</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（五）法律服务为民排忧解难。</w:t>
      </w:r>
      <w:r>
        <w:rPr>
          <w:rFonts w:hint="eastAsia" w:ascii="仿宋" w:hAnsi="仿宋" w:eastAsia="仿宋" w:cs="Times New Roman"/>
          <w:color w:val="333333"/>
          <w:sz w:val="32"/>
          <w:szCs w:val="32"/>
        </w:rPr>
        <w:t>市法律援助中心按照“扩大援助、优化服务、提升质量、加强监督”的要求，以“围绕中心、履职尽责、立足本职、服务大局”的工作思路，积极推进了法律援助工作。2019年，我市公证处今年共办理各类公证1361件，其中国内公证878件，涉外和涉港澳台类公证483件。我市法律援助中心今年共办理法律援助案件366件，其中民事案件339件，刑事案件119件，行政案件7件，接待来电、来访法律咨询2200余人次。</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（六）扫黑除恶紧扣中心工作。</w:t>
      </w:r>
      <w:r>
        <w:rPr>
          <w:rFonts w:hint="eastAsia" w:ascii="仿宋" w:hAnsi="仿宋" w:eastAsia="仿宋" w:cs="Times New Roman"/>
          <w:color w:val="333333"/>
          <w:sz w:val="32"/>
          <w:szCs w:val="32"/>
        </w:rPr>
        <w:t>我局积极配合市委、市政府，认真开展扫黑除恶工作。</w:t>
      </w:r>
      <w:r>
        <w:rPr>
          <w:rFonts w:hint="eastAsia" w:ascii="仿宋" w:hAnsi="仿宋" w:eastAsia="仿宋" w:cs="Times New Roman"/>
          <w:b/>
          <w:bCs/>
          <w:color w:val="000000"/>
          <w:sz w:val="32"/>
          <w:szCs w:val="32"/>
        </w:rPr>
        <w:t>一是</w:t>
      </w:r>
      <w:r>
        <w:rPr>
          <w:rFonts w:hint="eastAsia" w:ascii="仿宋" w:hAnsi="仿宋" w:eastAsia="仿宋" w:cs="Times New Roman"/>
          <w:color w:val="000000"/>
          <w:sz w:val="32"/>
          <w:szCs w:val="32"/>
        </w:rPr>
        <w:t>贯彻落实中央、省委关于扫黑除恶专项斗争精神，多方动员，积极开展扫黑除恶专项斗争。</w:t>
      </w:r>
      <w:r>
        <w:rPr>
          <w:rFonts w:hint="eastAsia" w:ascii="仿宋" w:hAnsi="仿宋" w:eastAsia="仿宋" w:cs="Times New Roman"/>
          <w:b/>
          <w:bCs/>
          <w:color w:val="333333"/>
          <w:sz w:val="32"/>
          <w:szCs w:val="32"/>
        </w:rPr>
        <w:t>二是</w:t>
      </w:r>
      <w:r>
        <w:rPr>
          <w:rFonts w:hint="eastAsia" w:ascii="仿宋" w:hAnsi="仿宋" w:eastAsia="仿宋" w:cs="Times New Roman"/>
          <w:color w:val="333333"/>
          <w:sz w:val="32"/>
          <w:szCs w:val="32"/>
        </w:rPr>
        <w:t>加强对特殊人员的管控，对社区服刑人员通过更新管理方式，加大管控力度，深化思想认识等各个方面，排除安全隐患。</w:t>
      </w:r>
      <w:r>
        <w:rPr>
          <w:rFonts w:hint="eastAsia" w:ascii="仿宋" w:hAnsi="仿宋" w:eastAsia="仿宋" w:cs="Times New Roman"/>
          <w:b/>
          <w:bCs/>
          <w:color w:val="333333"/>
          <w:sz w:val="32"/>
          <w:szCs w:val="32"/>
        </w:rPr>
        <w:t>三是</w:t>
      </w:r>
      <w:r>
        <w:rPr>
          <w:rFonts w:hint="eastAsia" w:ascii="仿宋" w:hAnsi="仿宋" w:eastAsia="仿宋" w:cs="Times New Roman"/>
          <w:color w:val="333333"/>
          <w:sz w:val="32"/>
          <w:szCs w:val="32"/>
        </w:rPr>
        <w:t>加强对律所律师的管理，对律师涉黑涉恶案件辩护和代理工作进行指导、监督。</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（七）精准扶贫推动乡村振兴。</w:t>
      </w:r>
      <w:r>
        <w:rPr>
          <w:rFonts w:hint="eastAsia" w:ascii="仿宋" w:hAnsi="仿宋" w:eastAsia="仿宋" w:cs="Times New Roman"/>
          <w:color w:val="333333"/>
          <w:sz w:val="32"/>
          <w:szCs w:val="32"/>
        </w:rPr>
        <w:t>2019年，我局秉持高度的政治责任感，坚持从大局出发、为民办实事的原则，以踏石留印、抓铁留痕的决心和信念，立足村情，</w:t>
      </w:r>
      <w:r>
        <w:rPr>
          <w:rFonts w:hint="eastAsia" w:ascii="仿宋" w:hAnsi="仿宋" w:eastAsia="仿宋" w:cs="Times New Roman"/>
          <w:color w:val="333333"/>
          <w:spacing w:val="21"/>
          <w:sz w:val="32"/>
          <w:szCs w:val="32"/>
          <w:shd w:val="clear" w:color="auto" w:fill="FFFFFF"/>
        </w:rPr>
        <w:t>扎实开展精准扶贫工作，帮助贫困户们解决了一个个现实困难，</w:t>
      </w:r>
      <w:r>
        <w:rPr>
          <w:rFonts w:hint="eastAsia" w:ascii="仿宋" w:hAnsi="仿宋" w:eastAsia="仿宋" w:cs="Times New Roman"/>
          <w:color w:val="333333"/>
          <w:sz w:val="32"/>
          <w:szCs w:val="32"/>
        </w:rPr>
        <w:t>取得了良好成效。</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黑体" w:hAnsi="黑体" w:eastAsia="黑体" w:cs="Times New Roman"/>
          <w:color w:val="333333"/>
          <w:sz w:val="32"/>
          <w:szCs w:val="32"/>
        </w:rPr>
        <w:t>二、收入支出预算执行情况分析</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（一）收入支出预算安排情况。</w:t>
      </w:r>
    </w:p>
    <w:p>
      <w:pPr>
        <w:pStyle w:val="5"/>
        <w:shd w:val="clear" w:color="auto" w:fill="FFFFFF"/>
        <w:spacing w:before="153" w:beforeAutospacing="0" w:after="0" w:afterAutospacing="0"/>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2019年，本部门年初预算收入</w:t>
      </w:r>
      <w:r>
        <w:rPr>
          <w:rFonts w:hint="eastAsia" w:ascii="仿宋" w:hAnsi="仿宋" w:eastAsia="仿宋" w:cs="Times New Roman"/>
          <w:color w:val="333333"/>
          <w:sz w:val="28"/>
          <w:szCs w:val="28"/>
        </w:rPr>
        <w:t>972</w:t>
      </w:r>
      <w:r>
        <w:rPr>
          <w:rFonts w:hint="eastAsia" w:ascii="仿宋" w:hAnsi="仿宋" w:eastAsia="仿宋" w:cs="Times New Roman"/>
          <w:color w:val="333333"/>
          <w:sz w:val="32"/>
          <w:szCs w:val="32"/>
        </w:rPr>
        <w:t>万元，比上年增减</w:t>
      </w:r>
      <w:r>
        <w:rPr>
          <w:rFonts w:hint="eastAsia" w:ascii="仿宋" w:hAnsi="仿宋" w:eastAsia="仿宋" w:cs="Times New Roman"/>
          <w:color w:val="333333"/>
          <w:sz w:val="28"/>
          <w:szCs w:val="28"/>
        </w:rPr>
        <w:t>93</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10.59</w:t>
      </w:r>
      <w:r>
        <w:rPr>
          <w:rFonts w:hint="eastAsia" w:ascii="仿宋" w:hAnsi="仿宋" w:eastAsia="仿宋" w:cs="Times New Roman"/>
          <w:color w:val="333333"/>
          <w:sz w:val="32"/>
          <w:szCs w:val="32"/>
        </w:rPr>
        <w:t>%,增减变化的主要原因是：人员增加。其中：一般公共预算财政拨款收入年初预算</w:t>
      </w:r>
      <w:r>
        <w:rPr>
          <w:rFonts w:hint="eastAsia" w:ascii="仿宋" w:hAnsi="仿宋" w:eastAsia="仿宋" w:cs="Times New Roman"/>
          <w:color w:val="333333"/>
          <w:sz w:val="28"/>
          <w:szCs w:val="28"/>
        </w:rPr>
        <w:t>972</w:t>
      </w:r>
      <w:r>
        <w:rPr>
          <w:rFonts w:hint="eastAsia" w:ascii="仿宋" w:hAnsi="仿宋" w:eastAsia="仿宋" w:cs="Times New Roman"/>
          <w:color w:val="333333"/>
          <w:sz w:val="32"/>
          <w:szCs w:val="32"/>
        </w:rPr>
        <w:t>万元，比上年增长</w:t>
      </w:r>
      <w:r>
        <w:rPr>
          <w:rFonts w:hint="eastAsia" w:ascii="仿宋" w:hAnsi="仿宋" w:eastAsia="仿宋" w:cs="Times New Roman"/>
          <w:color w:val="333333"/>
          <w:sz w:val="28"/>
          <w:szCs w:val="28"/>
        </w:rPr>
        <w:t>192</w:t>
      </w:r>
      <w:r>
        <w:rPr>
          <w:rFonts w:hint="eastAsia" w:ascii="仿宋" w:hAnsi="仿宋" w:eastAsia="仿宋" w:cs="Times New Roman"/>
          <w:color w:val="333333"/>
          <w:sz w:val="32"/>
          <w:szCs w:val="32"/>
        </w:rPr>
        <w:t>万元；年度执行中因单位人数变动及单位事权调整，预算跟随调整情况，主要变化是：收入调整预算数为1,428.5096万元。</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2019年，本部门年初预算支出</w:t>
      </w:r>
      <w:r>
        <w:rPr>
          <w:rFonts w:hint="eastAsia" w:ascii="仿宋" w:hAnsi="仿宋" w:eastAsia="仿宋" w:cs="Times New Roman"/>
          <w:color w:val="333333"/>
          <w:sz w:val="28"/>
          <w:szCs w:val="28"/>
        </w:rPr>
        <w:t>1,258</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379</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43.07</w:t>
      </w:r>
      <w:r>
        <w:rPr>
          <w:rFonts w:hint="eastAsia" w:ascii="仿宋" w:hAnsi="仿宋" w:eastAsia="仿宋" w:cs="Times New Roman"/>
          <w:color w:val="333333"/>
          <w:sz w:val="32"/>
          <w:szCs w:val="32"/>
        </w:rPr>
        <w:t>%，增减变化的主要原因是：</w:t>
      </w:r>
      <w:r>
        <w:rPr>
          <w:rFonts w:hint="eastAsia" w:ascii="仿宋" w:hAnsi="仿宋" w:eastAsia="仿宋" w:cs="Times New Roman"/>
          <w:color w:val="333333"/>
          <w:sz w:val="28"/>
          <w:szCs w:val="28"/>
        </w:rPr>
        <w:t>调整预算</w:t>
      </w:r>
      <w:r>
        <w:rPr>
          <w:rFonts w:hint="eastAsia" w:ascii="仿宋" w:hAnsi="仿宋" w:eastAsia="仿宋" w:cs="Times New Roman"/>
          <w:color w:val="333333"/>
          <w:sz w:val="32"/>
          <w:szCs w:val="32"/>
        </w:rPr>
        <w:t>。其中：基本支出年初预算</w:t>
      </w:r>
      <w:r>
        <w:rPr>
          <w:rFonts w:hint="eastAsia" w:ascii="仿宋" w:hAnsi="仿宋" w:eastAsia="仿宋" w:cs="Times New Roman"/>
          <w:color w:val="333333"/>
          <w:sz w:val="28"/>
          <w:szCs w:val="28"/>
        </w:rPr>
        <w:t>1,020</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367</w:t>
      </w:r>
      <w:r>
        <w:rPr>
          <w:rFonts w:hint="eastAsia" w:ascii="仿宋" w:hAnsi="仿宋" w:eastAsia="仿宋" w:cs="Times New Roman"/>
          <w:color w:val="333333"/>
          <w:sz w:val="32"/>
          <w:szCs w:val="32"/>
        </w:rPr>
        <w:t>万元，增长(下降)</w:t>
      </w:r>
      <w:r>
        <w:rPr>
          <w:rFonts w:hint="eastAsia" w:ascii="仿宋" w:hAnsi="仿宋" w:eastAsia="仿宋" w:cs="Times New Roman"/>
          <w:color w:val="333333"/>
          <w:sz w:val="28"/>
          <w:szCs w:val="28"/>
        </w:rPr>
        <w:t>100</w:t>
      </w:r>
      <w:r>
        <w:rPr>
          <w:rFonts w:hint="eastAsia" w:ascii="仿宋" w:hAnsi="仿宋" w:eastAsia="仿宋" w:cs="Times New Roman"/>
          <w:color w:val="333333"/>
          <w:sz w:val="32"/>
          <w:szCs w:val="32"/>
        </w:rPr>
        <w:t>%；项目支出年初预算</w:t>
      </w:r>
      <w:r>
        <w:rPr>
          <w:rFonts w:hint="eastAsia" w:ascii="仿宋" w:hAnsi="仿宋" w:eastAsia="仿宋" w:cs="Times New Roman"/>
          <w:color w:val="333333"/>
          <w:sz w:val="28"/>
          <w:szCs w:val="28"/>
        </w:rPr>
        <w:t>238</w:t>
      </w:r>
      <w:r>
        <w:rPr>
          <w:rFonts w:hint="eastAsia" w:ascii="仿宋" w:hAnsi="仿宋" w:eastAsia="仿宋" w:cs="Times New Roman"/>
          <w:color w:val="333333"/>
          <w:sz w:val="32"/>
          <w:szCs w:val="32"/>
        </w:rPr>
        <w:t>万元，比上年增减</w:t>
      </w:r>
      <w:r>
        <w:rPr>
          <w:rFonts w:hint="eastAsia" w:ascii="仿宋" w:hAnsi="仿宋" w:eastAsia="仿宋" w:cs="Times New Roman"/>
          <w:color w:val="333333"/>
          <w:sz w:val="28"/>
          <w:szCs w:val="28"/>
        </w:rPr>
        <w:t>12</w:t>
      </w:r>
      <w:r>
        <w:rPr>
          <w:rFonts w:hint="eastAsia" w:ascii="仿宋" w:hAnsi="仿宋" w:eastAsia="仿宋" w:cs="Times New Roman"/>
          <w:color w:val="333333"/>
          <w:sz w:val="32"/>
          <w:szCs w:val="32"/>
        </w:rPr>
        <w:t>万元，增长(下降)</w:t>
      </w:r>
      <w:r>
        <w:rPr>
          <w:rFonts w:hint="eastAsia" w:ascii="仿宋" w:hAnsi="仿宋" w:eastAsia="仿宋" w:cs="Times New Roman"/>
          <w:color w:val="333333"/>
          <w:sz w:val="28"/>
          <w:szCs w:val="28"/>
        </w:rPr>
        <w:t>0</w:t>
      </w:r>
      <w:r>
        <w:rPr>
          <w:rFonts w:hint="eastAsia" w:ascii="仿宋" w:hAnsi="仿宋" w:eastAsia="仿宋" w:cs="Times New Roman"/>
          <w:color w:val="333333"/>
          <w:sz w:val="32"/>
          <w:szCs w:val="32"/>
        </w:rPr>
        <w:t>%。年度执行中因单位人数变动及单位事权调整，预算跟随调整情况，主要变化是：乡镇司法所人员配备逐步完善。</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（二）收入支出预算执行情况。</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2019年收入实际完成</w:t>
      </w:r>
      <w:r>
        <w:rPr>
          <w:rFonts w:hint="eastAsia" w:ascii="仿宋" w:hAnsi="仿宋" w:eastAsia="仿宋" w:cs="Times New Roman"/>
          <w:color w:val="333333"/>
          <w:sz w:val="28"/>
          <w:szCs w:val="28"/>
        </w:rPr>
        <w:t>1,429</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266</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22.89</w:t>
      </w:r>
      <w:r>
        <w:rPr>
          <w:rFonts w:hint="eastAsia" w:ascii="仿宋" w:hAnsi="仿宋" w:eastAsia="仿宋" w:cs="Times New Roman"/>
          <w:color w:val="333333"/>
          <w:sz w:val="32"/>
          <w:szCs w:val="32"/>
        </w:rPr>
        <w:t>%。主要原因是：</w:t>
      </w:r>
      <w:r>
        <w:rPr>
          <w:rFonts w:hint="eastAsia" w:ascii="仿宋" w:hAnsi="仿宋" w:eastAsia="仿宋" w:cs="Times New Roman"/>
          <w:color w:val="333333"/>
          <w:sz w:val="28"/>
          <w:szCs w:val="28"/>
        </w:rPr>
        <w:t>增加了专项拨款</w:t>
      </w:r>
      <w:r>
        <w:rPr>
          <w:rFonts w:hint="eastAsia" w:ascii="仿宋" w:hAnsi="仿宋" w:eastAsia="仿宋" w:cs="Times New Roman"/>
          <w:color w:val="333333"/>
          <w:sz w:val="32"/>
          <w:szCs w:val="32"/>
        </w:rPr>
        <w:t>。其中：一般公共预算财政拨款收入完成</w:t>
      </w:r>
      <w:r>
        <w:rPr>
          <w:rFonts w:hint="eastAsia" w:ascii="仿宋" w:hAnsi="仿宋" w:eastAsia="仿宋" w:cs="Times New Roman"/>
          <w:color w:val="333333"/>
          <w:sz w:val="28"/>
          <w:szCs w:val="28"/>
        </w:rPr>
        <w:t>1,429</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266</w:t>
      </w:r>
      <w:r>
        <w:rPr>
          <w:rFonts w:hint="eastAsia" w:ascii="仿宋" w:hAnsi="仿宋" w:eastAsia="仿宋" w:cs="Times New Roman"/>
          <w:color w:val="333333"/>
          <w:sz w:val="32"/>
          <w:szCs w:val="32"/>
        </w:rPr>
        <w:t>万元，变化的主要原因是：</w:t>
      </w:r>
      <w:r>
        <w:rPr>
          <w:rFonts w:hint="eastAsia" w:ascii="仿宋" w:hAnsi="仿宋" w:eastAsia="仿宋" w:cs="Times New Roman"/>
          <w:color w:val="333333"/>
          <w:sz w:val="28"/>
          <w:szCs w:val="28"/>
        </w:rPr>
        <w:t>增加了专项拨款</w:t>
      </w:r>
      <w:r>
        <w:rPr>
          <w:rFonts w:hint="eastAsia" w:ascii="仿宋" w:hAnsi="仿宋" w:eastAsia="仿宋" w:cs="Times New Roman"/>
          <w:color w:val="333333"/>
          <w:sz w:val="32"/>
          <w:szCs w:val="32"/>
        </w:rPr>
        <w:t>；</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2019年，本部门支出</w:t>
      </w:r>
      <w:r>
        <w:rPr>
          <w:rFonts w:hint="eastAsia" w:ascii="仿宋" w:hAnsi="仿宋" w:eastAsia="仿宋" w:cs="Times New Roman"/>
          <w:color w:val="333333"/>
          <w:sz w:val="28"/>
          <w:szCs w:val="28"/>
        </w:rPr>
        <w:t>1,685</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525</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45.32</w:t>
      </w:r>
      <w:r>
        <w:rPr>
          <w:rFonts w:hint="eastAsia" w:ascii="仿宋" w:hAnsi="仿宋" w:eastAsia="仿宋" w:cs="Times New Roman"/>
          <w:color w:val="333333"/>
          <w:sz w:val="32"/>
          <w:szCs w:val="32"/>
        </w:rPr>
        <w:t>%；变化的主要原因：</w:t>
      </w:r>
      <w:r>
        <w:rPr>
          <w:rFonts w:hint="eastAsia" w:ascii="仿宋" w:hAnsi="仿宋" w:eastAsia="仿宋" w:cs="Times New Roman"/>
          <w:color w:val="333333"/>
          <w:sz w:val="28"/>
          <w:szCs w:val="28"/>
        </w:rPr>
        <w:t>增加了专项拨款</w:t>
      </w:r>
      <w:r>
        <w:rPr>
          <w:rFonts w:hint="eastAsia" w:ascii="仿宋" w:hAnsi="仿宋" w:eastAsia="仿宋" w:cs="Times New Roman"/>
          <w:color w:val="333333"/>
          <w:sz w:val="32"/>
          <w:szCs w:val="32"/>
        </w:rPr>
        <w:t>。其中：基本支出完成</w:t>
      </w:r>
      <w:r>
        <w:rPr>
          <w:rFonts w:hint="eastAsia" w:ascii="仿宋" w:hAnsi="仿宋" w:eastAsia="仿宋" w:cs="Times New Roman"/>
          <w:color w:val="333333"/>
          <w:sz w:val="28"/>
          <w:szCs w:val="28"/>
        </w:rPr>
        <w:t>961</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78</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8.87%，</w:t>
      </w:r>
      <w:r>
        <w:rPr>
          <w:rFonts w:hint="eastAsia" w:ascii="仿宋" w:hAnsi="仿宋" w:eastAsia="仿宋" w:cs="Times New Roman"/>
          <w:color w:val="333333"/>
          <w:sz w:val="32"/>
          <w:szCs w:val="32"/>
        </w:rPr>
        <w:t>变化的主要原因：各项工作的开展。项目支出</w:t>
      </w:r>
      <w:r>
        <w:rPr>
          <w:rFonts w:hint="eastAsia" w:ascii="仿宋" w:hAnsi="仿宋" w:eastAsia="仿宋" w:cs="Times New Roman"/>
          <w:color w:val="333333"/>
          <w:sz w:val="28"/>
          <w:szCs w:val="28"/>
        </w:rPr>
        <w:t>723</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447</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161.7%</w:t>
      </w:r>
      <w:r>
        <w:rPr>
          <w:rFonts w:hint="eastAsia" w:ascii="仿宋" w:hAnsi="仿宋" w:eastAsia="仿宋" w:cs="Times New Roman"/>
          <w:color w:val="333333"/>
          <w:sz w:val="32"/>
          <w:szCs w:val="32"/>
        </w:rPr>
        <w:t>；变化的主要原因：</w:t>
      </w:r>
      <w:r>
        <w:rPr>
          <w:rFonts w:hint="eastAsia" w:ascii="仿宋" w:hAnsi="仿宋" w:eastAsia="仿宋" w:cs="Times New Roman"/>
          <w:color w:val="333333"/>
          <w:sz w:val="28"/>
          <w:szCs w:val="28"/>
        </w:rPr>
        <w:t>增加了专项拨款</w:t>
      </w:r>
      <w:r>
        <w:rPr>
          <w:rFonts w:hint="eastAsia" w:ascii="仿宋" w:hAnsi="仿宋" w:eastAsia="仿宋" w:cs="Times New Roman"/>
          <w:color w:val="333333"/>
          <w:sz w:val="32"/>
          <w:szCs w:val="32"/>
        </w:rPr>
        <w:t>。人员经费完成</w:t>
      </w:r>
      <w:r>
        <w:rPr>
          <w:rFonts w:hint="eastAsia" w:ascii="仿宋" w:hAnsi="仿宋" w:eastAsia="仿宋" w:cs="Times New Roman"/>
          <w:color w:val="333333"/>
          <w:sz w:val="28"/>
          <w:szCs w:val="28"/>
        </w:rPr>
        <w:t>858万</w:t>
      </w:r>
      <w:r>
        <w:rPr>
          <w:rFonts w:hint="eastAsia" w:ascii="仿宋" w:hAnsi="仿宋" w:eastAsia="仿宋" w:cs="Times New Roman"/>
          <w:color w:val="333333"/>
          <w:sz w:val="32"/>
          <w:szCs w:val="32"/>
        </w:rPr>
        <w:t>元，比上年增加</w:t>
      </w:r>
      <w:r>
        <w:rPr>
          <w:rFonts w:hint="eastAsia" w:ascii="仿宋" w:hAnsi="仿宋" w:eastAsia="仿宋" w:cs="Times New Roman"/>
          <w:color w:val="333333"/>
          <w:sz w:val="28"/>
          <w:szCs w:val="28"/>
        </w:rPr>
        <w:t>87</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11.25%，</w:t>
      </w:r>
      <w:r>
        <w:rPr>
          <w:rFonts w:hint="eastAsia" w:ascii="仿宋" w:hAnsi="仿宋" w:eastAsia="仿宋" w:cs="Times New Roman"/>
          <w:color w:val="333333"/>
          <w:sz w:val="32"/>
          <w:szCs w:val="32"/>
        </w:rPr>
        <w:t>变化的主要原因：人员增加，工资调资；公用经费完成</w:t>
      </w:r>
      <w:r>
        <w:rPr>
          <w:rFonts w:hint="eastAsia" w:ascii="仿宋" w:hAnsi="仿宋" w:eastAsia="仿宋" w:cs="Times New Roman"/>
          <w:color w:val="333333"/>
          <w:sz w:val="28"/>
          <w:szCs w:val="28"/>
        </w:rPr>
        <w:t>103</w:t>
      </w:r>
      <w:r>
        <w:rPr>
          <w:rFonts w:hint="eastAsia" w:ascii="仿宋" w:hAnsi="仿宋" w:eastAsia="仿宋" w:cs="Times New Roman"/>
          <w:color w:val="333333"/>
          <w:sz w:val="32"/>
          <w:szCs w:val="32"/>
        </w:rPr>
        <w:t>万元，比上年减</w:t>
      </w:r>
      <w:r>
        <w:rPr>
          <w:rFonts w:hint="eastAsia" w:ascii="仿宋" w:hAnsi="仿宋" w:eastAsia="仿宋" w:cs="Times New Roman"/>
          <w:color w:val="333333"/>
          <w:sz w:val="28"/>
          <w:szCs w:val="28"/>
        </w:rPr>
        <w:t>少8</w:t>
      </w:r>
      <w:r>
        <w:rPr>
          <w:rFonts w:hint="eastAsia" w:ascii="仿宋" w:hAnsi="仿宋" w:eastAsia="仿宋" w:cs="Times New Roman"/>
          <w:color w:val="333333"/>
          <w:sz w:val="32"/>
          <w:szCs w:val="32"/>
        </w:rPr>
        <w:t>万元，下降</w:t>
      </w:r>
      <w:r>
        <w:rPr>
          <w:rFonts w:hint="eastAsia" w:ascii="仿宋" w:hAnsi="仿宋" w:eastAsia="仿宋" w:cs="Times New Roman"/>
          <w:color w:val="333333"/>
          <w:sz w:val="28"/>
          <w:szCs w:val="28"/>
        </w:rPr>
        <w:t>7.57%，</w:t>
      </w:r>
      <w:r>
        <w:rPr>
          <w:rFonts w:hint="eastAsia" w:ascii="仿宋" w:hAnsi="仿宋" w:eastAsia="仿宋" w:cs="Times New Roman"/>
          <w:color w:val="333333"/>
          <w:sz w:val="32"/>
          <w:szCs w:val="32"/>
        </w:rPr>
        <w:t>变化的主要原因：减少不必要支出</w:t>
      </w:r>
      <w:r>
        <w:rPr>
          <w:rFonts w:hint="eastAsia" w:ascii="仿宋" w:hAnsi="仿宋" w:eastAsia="仿宋" w:cs="Times New Roman"/>
          <w:color w:val="333333"/>
          <w:sz w:val="28"/>
          <w:szCs w:val="28"/>
        </w:rPr>
        <w:t>。</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b/>
          <w:bCs/>
          <w:color w:val="333333"/>
          <w:sz w:val="32"/>
          <w:szCs w:val="32"/>
        </w:rPr>
        <w:t>3．支出按经济分类科目分析。</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（1）</w:t>
      </w:r>
      <w:r>
        <w:rPr>
          <w:rFonts w:hint="eastAsia" w:ascii="仿宋" w:hAnsi="仿宋" w:eastAsia="仿宋" w:cs="Times New Roman"/>
          <w:b/>
          <w:bCs/>
          <w:color w:val="333333"/>
          <w:sz w:val="32"/>
          <w:szCs w:val="32"/>
        </w:rPr>
        <w:t>“</w:t>
      </w:r>
      <w:r>
        <w:rPr>
          <w:rFonts w:hint="eastAsia" w:ascii="仿宋" w:hAnsi="仿宋" w:eastAsia="仿宋" w:cs="Times New Roman"/>
          <w:color w:val="333333"/>
          <w:sz w:val="32"/>
          <w:szCs w:val="32"/>
        </w:rPr>
        <w:t>三公</w:t>
      </w:r>
      <w:r>
        <w:rPr>
          <w:rFonts w:hint="eastAsia" w:ascii="仿宋" w:hAnsi="仿宋" w:eastAsia="仿宋" w:cs="Times New Roman"/>
          <w:b/>
          <w:bCs/>
          <w:color w:val="333333"/>
          <w:sz w:val="32"/>
          <w:szCs w:val="32"/>
        </w:rPr>
        <w:t>”</w:t>
      </w:r>
      <w:r>
        <w:rPr>
          <w:rFonts w:hint="eastAsia" w:ascii="仿宋" w:hAnsi="仿宋" w:eastAsia="仿宋" w:cs="Times New Roman"/>
          <w:color w:val="333333"/>
          <w:sz w:val="32"/>
          <w:szCs w:val="32"/>
        </w:rPr>
        <w:t>经费支出情况：2019年，“三公”经费完成181,549.1元，比上年减少263,978.73元，下降59.25%，增减变化的主要原因是：车辆上交节约开支。其中：</w:t>
      </w:r>
      <w:r>
        <w:rPr>
          <w:rFonts w:hint="eastAsia" w:ascii="仿宋" w:hAnsi="仿宋" w:eastAsia="仿宋" w:cs="Times New Roman"/>
          <w:b/>
          <w:bCs/>
          <w:color w:val="333333"/>
          <w:sz w:val="32"/>
          <w:szCs w:val="32"/>
        </w:rPr>
        <w:t>公务接待费</w:t>
      </w:r>
      <w:r>
        <w:rPr>
          <w:rFonts w:hint="eastAsia" w:ascii="仿宋" w:hAnsi="仿宋" w:eastAsia="仿宋" w:cs="Times New Roman"/>
          <w:color w:val="333333"/>
          <w:sz w:val="32"/>
          <w:szCs w:val="32"/>
        </w:rPr>
        <w:t>完成117,677.72元，接待批次168次，比上年减少916.11元，下降0.77%，增减变化的主要原因是：公务接待严格按规定支出；</w:t>
      </w:r>
      <w:r>
        <w:rPr>
          <w:rFonts w:hint="eastAsia" w:ascii="仿宋" w:hAnsi="仿宋" w:eastAsia="仿宋" w:cs="Times New Roman"/>
          <w:b/>
          <w:bCs/>
          <w:color w:val="333333"/>
          <w:sz w:val="32"/>
          <w:szCs w:val="32"/>
        </w:rPr>
        <w:t>公务用车购置及运行维护费</w:t>
      </w:r>
      <w:r>
        <w:rPr>
          <w:rFonts w:hint="eastAsia" w:ascii="仿宋" w:hAnsi="仿宋" w:eastAsia="仿宋" w:cs="Times New Roman"/>
          <w:color w:val="333333"/>
          <w:sz w:val="32"/>
          <w:szCs w:val="32"/>
        </w:rPr>
        <w:t>完成63,871.38元，全部为公务用车运行费，比上年减少263,062.62元，下降80.46%，增减变化的主要原因是：车辆减少节约开支。</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center"/>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r>
        <w:rPr>
          <w:rFonts w:ascii="Times New Roman" w:hAnsi="Times New Roman" w:cs="Times New Roman"/>
          <w:color w:val="333333"/>
          <w:sz w:val="21"/>
          <w:szCs w:val="21"/>
        </w:rPr>
        <w:drawing>
          <wp:inline distT="0" distB="0" distL="0" distR="0">
            <wp:extent cx="4182745" cy="3035300"/>
            <wp:effectExtent l="19050" t="0" r="8255" b="0"/>
            <wp:docPr id="1" name="图片 1" descr="http://www.yuanjiang.gov.cn/uploadfiles/202008/2020083116202073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yuanjiang.gov.cn/uploadfiles/202008/20200831162020730001.png"/>
                    <pic:cNvPicPr>
                      <a:picLocks noChangeAspect="1" noChangeArrowheads="1"/>
                    </pic:cNvPicPr>
                  </pic:nvPicPr>
                  <pic:blipFill>
                    <a:blip r:embed="rId4" cstate="print"/>
                    <a:srcRect/>
                    <a:stretch>
                      <a:fillRect/>
                    </a:stretch>
                  </pic:blipFill>
                  <pic:spPr>
                    <a:xfrm>
                      <a:off x="0" y="0"/>
                      <a:ext cx="4182745" cy="3035300"/>
                    </a:xfrm>
                    <a:prstGeom prst="rect">
                      <a:avLst/>
                    </a:prstGeom>
                    <a:noFill/>
                    <a:ln w="9525">
                      <a:noFill/>
                      <a:miter lim="800000"/>
                      <a:headEnd/>
                      <a:tailEnd/>
                    </a:ln>
                  </pic:spPr>
                </pic:pic>
              </a:graphicData>
            </a:graphic>
          </wp:inline>
        </w:drawing>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（2）会议费支出情况：2019年会议费完成</w:t>
      </w:r>
      <w:r>
        <w:rPr>
          <w:rFonts w:hint="eastAsia" w:ascii="仿宋" w:hAnsi="仿宋" w:eastAsia="仿宋" w:cs="Times New Roman"/>
          <w:color w:val="333333"/>
          <w:sz w:val="28"/>
          <w:szCs w:val="28"/>
        </w:rPr>
        <w:t>14,950</w:t>
      </w:r>
      <w:r>
        <w:rPr>
          <w:rFonts w:hint="eastAsia" w:ascii="仿宋" w:hAnsi="仿宋" w:eastAsia="仿宋" w:cs="Times New Roman"/>
          <w:color w:val="333333"/>
          <w:sz w:val="32"/>
          <w:szCs w:val="32"/>
        </w:rPr>
        <w:t>元，比上年增加</w:t>
      </w:r>
      <w:r>
        <w:rPr>
          <w:rFonts w:hint="eastAsia" w:ascii="仿宋" w:hAnsi="仿宋" w:eastAsia="仿宋" w:cs="Times New Roman"/>
          <w:color w:val="333333"/>
          <w:sz w:val="28"/>
          <w:szCs w:val="28"/>
        </w:rPr>
        <w:t>4,209</w:t>
      </w:r>
      <w:r>
        <w:rPr>
          <w:rFonts w:hint="eastAsia" w:ascii="仿宋" w:hAnsi="仿宋" w:eastAsia="仿宋" w:cs="Times New Roman"/>
          <w:color w:val="333333"/>
          <w:sz w:val="32"/>
          <w:szCs w:val="32"/>
        </w:rPr>
        <w:t>元，增加</w:t>
      </w:r>
      <w:r>
        <w:rPr>
          <w:rFonts w:hint="eastAsia" w:ascii="仿宋" w:hAnsi="仿宋" w:eastAsia="仿宋" w:cs="Times New Roman"/>
          <w:color w:val="333333"/>
          <w:sz w:val="28"/>
          <w:szCs w:val="28"/>
        </w:rPr>
        <w:t>39.19%，增减变化的主要原因是：比去年增加一次会议</w:t>
      </w:r>
      <w:r>
        <w:rPr>
          <w:rFonts w:hint="eastAsia" w:ascii="仿宋" w:hAnsi="仿宋" w:eastAsia="仿宋" w:cs="Times New Roman"/>
          <w:color w:val="333333"/>
          <w:sz w:val="32"/>
          <w:szCs w:val="32"/>
        </w:rPr>
        <w:t>。</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（3）培训费支出情况：2019年培训费完成</w:t>
      </w:r>
      <w:r>
        <w:rPr>
          <w:rFonts w:hint="eastAsia" w:ascii="仿宋" w:hAnsi="仿宋" w:eastAsia="仿宋" w:cs="Times New Roman"/>
          <w:color w:val="333333"/>
          <w:sz w:val="28"/>
          <w:szCs w:val="28"/>
        </w:rPr>
        <w:t>39,306</w:t>
      </w:r>
      <w:r>
        <w:rPr>
          <w:rFonts w:hint="eastAsia" w:ascii="仿宋" w:hAnsi="仿宋" w:eastAsia="仿宋" w:cs="Times New Roman"/>
          <w:color w:val="333333"/>
          <w:sz w:val="32"/>
          <w:szCs w:val="32"/>
        </w:rPr>
        <w:t>元，比上年增加</w:t>
      </w:r>
      <w:r>
        <w:rPr>
          <w:rFonts w:hint="eastAsia" w:ascii="仿宋" w:hAnsi="仿宋" w:eastAsia="仿宋" w:cs="Times New Roman"/>
          <w:color w:val="333333"/>
          <w:sz w:val="28"/>
          <w:szCs w:val="28"/>
        </w:rPr>
        <w:t>19,757</w:t>
      </w:r>
      <w:r>
        <w:rPr>
          <w:rFonts w:hint="eastAsia" w:ascii="仿宋" w:hAnsi="仿宋" w:eastAsia="仿宋" w:cs="Times New Roman"/>
          <w:color w:val="333333"/>
          <w:sz w:val="32"/>
          <w:szCs w:val="32"/>
        </w:rPr>
        <w:t>元，增加</w:t>
      </w:r>
      <w:r>
        <w:rPr>
          <w:rFonts w:hint="eastAsia" w:ascii="仿宋" w:hAnsi="仿宋" w:eastAsia="仿宋" w:cs="Times New Roman"/>
          <w:color w:val="333333"/>
          <w:sz w:val="28"/>
          <w:szCs w:val="28"/>
        </w:rPr>
        <w:t>101.06%，增减变化的主要原因是：增加业务培训</w:t>
      </w:r>
      <w:r>
        <w:rPr>
          <w:rFonts w:hint="eastAsia" w:ascii="仿宋" w:hAnsi="仿宋" w:eastAsia="仿宋" w:cs="Times New Roman"/>
          <w:color w:val="333333"/>
          <w:sz w:val="32"/>
          <w:szCs w:val="32"/>
        </w:rPr>
        <w:t>。</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（4）出国（境）费用：无因公出国（境）费用。</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（5）其他对部门（单位）影响较大的支出情况。</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（6）重点经济分类支出中存在的问题及改进措施。</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b/>
          <w:bCs/>
          <w:color w:val="333333"/>
          <w:sz w:val="32"/>
          <w:szCs w:val="32"/>
        </w:rPr>
        <w:t>4.财政拨款收入、支出分析。</w:t>
      </w:r>
      <w:r>
        <w:rPr>
          <w:rFonts w:hint="eastAsia" w:ascii="仿宋" w:hAnsi="仿宋" w:eastAsia="仿宋" w:cs="Times New Roman"/>
          <w:color w:val="333333"/>
          <w:sz w:val="32"/>
          <w:szCs w:val="32"/>
        </w:rPr>
        <w:t>分析财政拨款收入、支出总体情况，支出要按照基本支出和项目支出分析具体构成及特点。</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（三）年末结转和结余情况。</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2019年，本单位年末结转和结余资金</w:t>
      </w:r>
      <w:r>
        <w:rPr>
          <w:rFonts w:hint="eastAsia" w:ascii="仿宋" w:hAnsi="仿宋" w:eastAsia="仿宋" w:cs="Times New Roman"/>
          <w:color w:val="333333"/>
          <w:sz w:val="28"/>
          <w:szCs w:val="28"/>
        </w:rPr>
        <w:t>0</w:t>
      </w:r>
      <w:r>
        <w:rPr>
          <w:rFonts w:hint="eastAsia" w:ascii="仿宋" w:hAnsi="仿宋" w:eastAsia="仿宋" w:cs="Times New Roman"/>
          <w:color w:val="333333"/>
          <w:sz w:val="32"/>
          <w:szCs w:val="32"/>
        </w:rPr>
        <w:t>元，比上年减</w:t>
      </w:r>
      <w:r>
        <w:rPr>
          <w:rFonts w:hint="eastAsia" w:ascii="仿宋" w:hAnsi="仿宋" w:eastAsia="仿宋" w:cs="Times New Roman"/>
          <w:color w:val="333333"/>
          <w:sz w:val="28"/>
          <w:szCs w:val="28"/>
        </w:rPr>
        <w:t>少2,472,888.69</w:t>
      </w:r>
      <w:r>
        <w:rPr>
          <w:rFonts w:hint="eastAsia" w:ascii="仿宋" w:hAnsi="仿宋" w:eastAsia="仿宋" w:cs="Times New Roman"/>
          <w:color w:val="333333"/>
          <w:sz w:val="32"/>
          <w:szCs w:val="32"/>
        </w:rPr>
        <w:t>元，下降</w:t>
      </w:r>
      <w:r>
        <w:rPr>
          <w:rFonts w:hint="eastAsia" w:ascii="仿宋" w:hAnsi="仿宋" w:eastAsia="仿宋" w:cs="Times New Roman"/>
          <w:color w:val="333333"/>
          <w:sz w:val="28"/>
          <w:szCs w:val="28"/>
        </w:rPr>
        <w:t>100%，增减变化的主要原因是：上年支出在本年列支</w:t>
      </w:r>
      <w:r>
        <w:rPr>
          <w:rFonts w:hint="eastAsia" w:ascii="仿宋" w:hAnsi="仿宋" w:eastAsia="仿宋" w:cs="Times New Roman"/>
          <w:color w:val="333333"/>
          <w:sz w:val="32"/>
          <w:szCs w:val="32"/>
        </w:rPr>
        <w:t>。</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根据资金性质其中：项目支出结转结余</w:t>
      </w:r>
      <w:r>
        <w:rPr>
          <w:rFonts w:hint="eastAsia"/>
          <w:color w:val="333333"/>
          <w:sz w:val="32"/>
          <w:szCs w:val="32"/>
        </w:rPr>
        <w:t> </w:t>
      </w:r>
      <w:r>
        <w:rPr>
          <w:rFonts w:hint="eastAsia" w:ascii="仿宋" w:hAnsi="仿宋" w:eastAsia="仿宋" w:cs="Times New Roman"/>
          <w:color w:val="333333"/>
          <w:sz w:val="28"/>
          <w:szCs w:val="28"/>
        </w:rPr>
        <w:t>0</w:t>
      </w:r>
      <w:r>
        <w:rPr>
          <w:rFonts w:hint="eastAsia" w:ascii="仿宋" w:hAnsi="仿宋" w:eastAsia="仿宋" w:cs="Times New Roman"/>
          <w:color w:val="333333"/>
          <w:sz w:val="32"/>
          <w:szCs w:val="32"/>
        </w:rPr>
        <w:t>元,比上年减少</w:t>
      </w:r>
      <w:r>
        <w:rPr>
          <w:rFonts w:hint="eastAsia" w:ascii="仿宋" w:hAnsi="仿宋" w:eastAsia="仿宋" w:cs="Times New Roman"/>
          <w:color w:val="333333"/>
          <w:sz w:val="28"/>
          <w:szCs w:val="28"/>
        </w:rPr>
        <w:t>2,472,888.69</w:t>
      </w:r>
      <w:r>
        <w:rPr>
          <w:rFonts w:hint="eastAsia" w:ascii="仿宋" w:hAnsi="仿宋" w:eastAsia="仿宋" w:cs="Times New Roman"/>
          <w:color w:val="333333"/>
          <w:sz w:val="32"/>
          <w:szCs w:val="32"/>
        </w:rPr>
        <w:t>元，增减</w:t>
      </w:r>
      <w:r>
        <w:rPr>
          <w:rFonts w:hint="eastAsia" w:ascii="仿宋" w:hAnsi="仿宋" w:eastAsia="仿宋" w:cs="Times New Roman"/>
          <w:color w:val="333333"/>
          <w:sz w:val="28"/>
          <w:szCs w:val="28"/>
        </w:rPr>
        <w:t>0%</w:t>
      </w:r>
      <w:r>
        <w:rPr>
          <w:rFonts w:hint="eastAsia" w:ascii="仿宋" w:hAnsi="仿宋" w:eastAsia="仿宋" w:cs="Times New Roman"/>
          <w:color w:val="333333"/>
          <w:sz w:val="32"/>
          <w:szCs w:val="32"/>
        </w:rPr>
        <w:t>，主要原因：资金申请拨付及时并投入各项工作中。</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（四）当年预算执行中存在问题、原因及改进措施。</w:t>
      </w:r>
    </w:p>
    <w:p>
      <w:pPr>
        <w:ind w:firstLine="640"/>
        <w:jc w:val="left"/>
        <w:rPr>
          <w:rFonts w:ascii="黑体" w:hAnsi="黑体" w:eastAsia="黑体" w:cs="Times New Roman"/>
          <w:color w:val="333333"/>
          <w:kern w:val="0"/>
          <w:sz w:val="32"/>
          <w:szCs w:val="32"/>
        </w:rPr>
      </w:pPr>
      <w:r>
        <w:rPr>
          <w:rFonts w:hint="eastAsia"/>
          <w:color w:val="333333"/>
          <w:sz w:val="32"/>
          <w:szCs w:val="32"/>
        </w:rPr>
        <w:t> </w:t>
      </w:r>
      <w:r>
        <w:rPr>
          <w:rFonts w:hint="eastAsia" w:ascii="仿宋" w:hAnsi="仿宋" w:eastAsia="仿宋" w:cs="Times New Roman"/>
          <w:color w:val="333333"/>
          <w:sz w:val="32"/>
          <w:szCs w:val="32"/>
        </w:rPr>
        <w:t>当年预算中对采购方面资金把握不到位，在年中采购申请中需申请追加额度，主要是因为对当年物资采购统计不准确，在下年度预算中将把握好采购资金的额度。</w:t>
      </w:r>
      <w:r>
        <w:rPr>
          <w:rFonts w:hint="eastAsia" w:ascii="黑体" w:hAnsi="黑体" w:eastAsia="黑体" w:cs="Times New Roman"/>
          <w:color w:val="333333"/>
          <w:kern w:val="0"/>
          <w:sz w:val="32"/>
          <w:szCs w:val="32"/>
        </w:rPr>
        <w:t>三、关于沅江市司法局2019 年度政府性基金预算财政拨款支出决算情况说明</w:t>
      </w:r>
    </w:p>
    <w:p>
      <w:pPr>
        <w:ind w:firstLine="64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（一）政府性基金预算财政拨款收入支出决算总体情况。</w:t>
      </w:r>
    </w:p>
    <w:p>
      <w:pPr>
        <w:ind w:firstLine="640" w:firstLineChars="20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无。</w:t>
      </w:r>
    </w:p>
    <w:p>
      <w:pPr>
        <w:ind w:firstLine="64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（二）政府性基金预算财政拨款支出决算构成情况。</w:t>
      </w:r>
    </w:p>
    <w:p>
      <w:pPr>
        <w:ind w:firstLine="640" w:firstLineChars="20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无。</w:t>
      </w:r>
    </w:p>
    <w:p>
      <w:pPr>
        <w:ind w:firstLine="64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（三）政府性基金预算财政拨款支出决算具体情况。</w:t>
      </w:r>
    </w:p>
    <w:p>
      <w:pPr>
        <w:ind w:firstLine="64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无。</w:t>
      </w:r>
    </w:p>
    <w:p>
      <w:pPr>
        <w:ind w:firstLine="640"/>
        <w:jc w:val="left"/>
        <w:rPr>
          <w:rFonts w:ascii="黑体" w:hAnsi="黑体" w:eastAsia="黑体" w:cs="黑体"/>
          <w:sz w:val="32"/>
        </w:rPr>
      </w:pPr>
      <w:r>
        <w:rPr>
          <w:rFonts w:hint="eastAsia" w:ascii="黑体" w:hAnsi="黑体" w:eastAsia="黑体" w:cs="黑体"/>
          <w:sz w:val="32"/>
        </w:rPr>
        <w:t>四、</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rPr>
        <w:t>一</w:t>
      </w:r>
      <w:r>
        <w:rPr>
          <w:rFonts w:ascii="楷体" w:hAnsi="楷体" w:eastAsia="楷体" w:cs="楷体"/>
          <w:sz w:val="32"/>
        </w:rPr>
        <w:t>）机关运行经费支出情况。</w:t>
      </w:r>
    </w:p>
    <w:p>
      <w:pPr>
        <w:ind w:firstLine="640"/>
        <w:jc w:val="left"/>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100.16</w:t>
      </w:r>
      <w:r>
        <w:rPr>
          <w:rFonts w:ascii="仿宋" w:hAnsi="仿宋" w:eastAsia="仿宋" w:cs="仿宋"/>
          <w:sz w:val="32"/>
        </w:rPr>
        <w:t>万元，较上年增加</w:t>
      </w:r>
      <w:r>
        <w:rPr>
          <w:rFonts w:hint="eastAsia" w:ascii="仿宋" w:hAnsi="仿宋" w:eastAsia="仿宋" w:cs="仿宋"/>
          <w:sz w:val="32"/>
        </w:rPr>
        <w:t>111.74</w:t>
      </w:r>
      <w:r>
        <w:rPr>
          <w:rFonts w:ascii="仿宋" w:hAnsi="仿宋" w:eastAsia="仿宋" w:cs="仿宋"/>
          <w:sz w:val="32"/>
        </w:rPr>
        <w:t>万元，</w:t>
      </w:r>
      <w:r>
        <w:rPr>
          <w:rFonts w:hint="eastAsia" w:ascii="仿宋" w:hAnsi="仿宋" w:eastAsia="仿宋" w:cs="仿宋"/>
          <w:sz w:val="32"/>
        </w:rPr>
        <w:t>减少10.36</w:t>
      </w:r>
      <w:r>
        <w:rPr>
          <w:rFonts w:ascii="仿宋" w:hAnsi="仿宋" w:eastAsia="仿宋" w:cs="仿宋"/>
          <w:sz w:val="32"/>
        </w:rPr>
        <w:t>%，主要原因是</w:t>
      </w:r>
      <w:r>
        <w:rPr>
          <w:rFonts w:hint="eastAsia" w:ascii="仿宋_GB2312" w:eastAsia="仿宋_GB2312"/>
          <w:sz w:val="32"/>
          <w:szCs w:val="32"/>
        </w:rPr>
        <w:t>：减少不必要的支出。</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rPr>
        <w:t>二</w:t>
      </w:r>
      <w:r>
        <w:rPr>
          <w:rFonts w:ascii="楷体" w:hAnsi="楷体" w:eastAsia="楷体" w:cs="楷体"/>
          <w:sz w:val="32"/>
        </w:rPr>
        <w:t>）政府采购支出情况。</w:t>
      </w:r>
    </w:p>
    <w:p>
      <w:pPr>
        <w:ind w:firstLine="640"/>
        <w:jc w:val="left"/>
        <w:rPr>
          <w:rFonts w:ascii="仿宋" w:hAnsi="仿宋" w:eastAsia="仿宋" w:cs="仿宋"/>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3.12</w:t>
      </w:r>
      <w:r>
        <w:rPr>
          <w:rFonts w:ascii="仿宋" w:hAnsi="仿宋" w:eastAsia="仿宋" w:cs="仿宋"/>
          <w:sz w:val="32"/>
        </w:rPr>
        <w:t>万元，其中，政府采购货物支出</w:t>
      </w:r>
      <w:r>
        <w:rPr>
          <w:rFonts w:hint="eastAsia" w:ascii="仿宋" w:hAnsi="仿宋" w:eastAsia="仿宋" w:cs="仿宋"/>
          <w:sz w:val="32"/>
        </w:rPr>
        <w:t>3.12</w:t>
      </w:r>
      <w:r>
        <w:rPr>
          <w:rFonts w:ascii="仿宋" w:hAnsi="仿宋" w:eastAsia="仿宋" w:cs="仿宋"/>
          <w:sz w:val="32"/>
        </w:rPr>
        <w:t>万元</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三</w:t>
      </w:r>
      <w:r>
        <w:rPr>
          <w:rFonts w:ascii="楷体" w:hAnsi="楷体" w:eastAsia="楷体" w:cs="楷体"/>
          <w:sz w:val="32"/>
        </w:rPr>
        <w:t>）国有资产占用情况。</w:t>
      </w:r>
    </w:p>
    <w:p>
      <w:pPr>
        <w:ind w:firstLine="640" w:firstLineChars="200"/>
        <w:rPr>
          <w:rFonts w:ascii="仿宋" w:hAnsi="仿宋" w:eastAsia="仿宋" w:cs="Times New Roman"/>
          <w:color w:val="333333"/>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日，本部门共有车辆1辆，为公务用车。</w:t>
      </w:r>
    </w:p>
    <w:p>
      <w:pPr>
        <w:pStyle w:val="5"/>
        <w:shd w:val="clear" w:color="auto" w:fill="FFFFFF"/>
        <w:spacing w:before="153" w:beforeAutospacing="0" w:after="0" w:afterAutospacing="0" w:line="551" w:lineRule="atLeast"/>
        <w:ind w:firstLine="480"/>
        <w:rPr>
          <w:rFonts w:ascii="Times New Roman" w:hAnsi="Times New Roman" w:cs="Times New Roman"/>
          <w:color w:val="333333"/>
          <w:sz w:val="21"/>
          <w:szCs w:val="21"/>
        </w:rPr>
      </w:pPr>
    </w:p>
    <w:p>
      <w:pPr>
        <w:ind w:firstLine="640"/>
        <w:jc w:val="left"/>
        <w:rPr>
          <w:rFonts w:ascii="黑体" w:hAnsi="黑体" w:eastAsia="黑体" w:cs="黑体"/>
          <w:sz w:val="32"/>
        </w:rPr>
      </w:pPr>
      <w:r>
        <w:rPr>
          <w:rFonts w:hint="eastAsia" w:ascii="黑体" w:hAnsi="黑体" w:eastAsia="黑体" w:cs="黑体"/>
          <w:sz w:val="32"/>
        </w:rPr>
        <w:t>五、名词解释</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财政拨款收入：指本级财政当年拨付的资金。</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上年结转和结余：指以前年度尚未完成、结转到本年按有关规定继续使用的资金。</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年末结转和结余资金：指本年度或以前年度预算安排、因客观条件发生变化无法按原计划实施，需要延迟到以后年度按有关规定继续使用的资金。</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等。</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公共安全支出（类）：是指用于内卫、消防等武装警察部队的支出，包括保障机构正常运转、完成日常和特定的工作任务或事业发展目标的支出。</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基本支出：指保障机构正常运转、完成支日常工作任务而发生的人员支出和公用支出。</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项目支出：指在基本支出之外为完成特定行政任务和事业发展目标所发生的支出。</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ascii="仿宋" w:hAnsi="仿宋" w:eastAsia="仿宋" w:cs="Times New Roman"/>
          <w:color w:val="333333"/>
          <w:sz w:val="32"/>
          <w:szCs w:val="32"/>
        </w:rPr>
        <w:t>“</w:t>
      </w:r>
      <w:r>
        <w:rPr>
          <w:rFonts w:hint="eastAsia" w:ascii="仿宋" w:hAnsi="仿宋" w:eastAsia="仿宋" w:cs="Times New Roman"/>
          <w:color w:val="333333"/>
          <w:sz w:val="32"/>
          <w:szCs w:val="32"/>
        </w:rPr>
        <w:t>三公</w:t>
      </w:r>
      <w:r>
        <w:rPr>
          <w:rFonts w:ascii="仿宋" w:hAnsi="仿宋" w:eastAsia="仿宋" w:cs="Times New Roman"/>
          <w:color w:val="333333"/>
          <w:sz w:val="32"/>
          <w:szCs w:val="32"/>
        </w:rPr>
        <w:t>”</w:t>
      </w:r>
      <w:r>
        <w:rPr>
          <w:rFonts w:hint="eastAsia" w:ascii="仿宋" w:hAnsi="仿宋" w:eastAsia="仿宋" w:cs="Times New Roman"/>
          <w:color w:val="333333"/>
          <w:sz w:val="32"/>
          <w:szCs w:val="32"/>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等。</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工资福利支出：反映单位开支的在职职工和编制外长期聘用人员的各类劳动报酬，以及为上述人员缴纳的各项社会保险费等。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YaHei Western">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yMDg3M2ViZGRlODQ2MTk2MTU0ZjEzNzZkZGY5MmUifQ=="/>
  </w:docVars>
  <w:rsids>
    <w:rsidRoot w:val="003057F7"/>
    <w:rsid w:val="001E3663"/>
    <w:rsid w:val="003057F7"/>
    <w:rsid w:val="00435585"/>
    <w:rsid w:val="00D54047"/>
    <w:rsid w:val="17D219A9"/>
    <w:rsid w:val="39132421"/>
    <w:rsid w:val="68114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3877</Words>
  <Characters>4252</Characters>
  <Lines>30</Lines>
  <Paragraphs>8</Paragraphs>
  <TotalTime>4</TotalTime>
  <ScaleCrop>false</ScaleCrop>
  <LinksUpToDate>false</LinksUpToDate>
  <CharactersWithSpaces>4281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2020-10-12T15:17:00Z</dcterms:created>
  <dc:creator>YM</dc:creator>
  <cp:lastModifiedBy>tmy</cp:lastModifiedBy>
  <dcterms:modified xsi:type="dcterms:W3CDTF">2023-10-09T00:20:31Z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9521C164654A4957A2D1AB3E8C4B71BD</vt:lpwstr>
  </property>
</Properties>
</file>