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 w:lineRule="exact"/>
        <w:rPr>
          <w:rFonts w:ascii="方正小标宋简体" w:hAnsi="宋体" w:eastAsia="方正小标宋简体" w:cs="新宋体"/>
          <w:color w:val="000000"/>
          <w:sz w:val="44"/>
          <w:szCs w:val="44"/>
          <w:u w:val="none"/>
        </w:rPr>
      </w:pPr>
      <w:r>
        <w:rPr>
          <w:rFonts w:ascii="方正小标宋简体" w:hAnsi="宋体" w:eastAsia="方正小标宋简体" w:cs="新宋体"/>
          <w:color w:val="000000"/>
          <w:sz w:val="44"/>
          <w:szCs w:val="44"/>
          <w:u w:val="none"/>
        </w:rPr>
        <w:t xml:space="preserve">                                       </w:t>
      </w:r>
    </w:p>
    <w:p>
      <w:pPr>
        <w:spacing w:line="600" w:lineRule="exact"/>
        <w:jc w:val="center"/>
        <w:rPr>
          <w:rFonts w:ascii="方正小标宋简体" w:eastAsia="方正小标宋简体" w:cs="新宋体"/>
          <w:color w:val="000000"/>
          <w:sz w:val="44"/>
          <w:szCs w:val="44"/>
          <w:u w:val="none"/>
        </w:rPr>
      </w:pPr>
      <w:r>
        <w:rPr>
          <w:rFonts w:hint="eastAsia" w:ascii="方正小标宋简体" w:hAnsi="宋体" w:eastAsia="方正小标宋简体" w:cs="新宋体"/>
          <w:color w:val="000000"/>
          <w:sz w:val="44"/>
          <w:szCs w:val="44"/>
          <w:u w:val="none"/>
        </w:rPr>
        <w:t>益阳市不可移动文物保护办法</w:t>
      </w:r>
    </w:p>
    <w:p>
      <w:pPr>
        <w:spacing w:line="600" w:lineRule="exact"/>
        <w:rPr>
          <w:rFonts w:ascii="仿宋_GB2312" w:hAnsi="新宋体" w:eastAsia="仿宋_GB2312" w:cs="新宋体"/>
          <w:color w:val="000000"/>
          <w:sz w:val="32"/>
          <w:szCs w:val="32"/>
          <w:u w:val="none"/>
        </w:rPr>
      </w:pP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第一条</w:t>
      </w:r>
      <w:r>
        <w:rPr>
          <w:rFonts w:ascii="仿宋_GB2312" w:hAnsi="新宋体" w:eastAsia="仿宋_GB2312" w:cs="新宋体"/>
          <w:color w:val="000000"/>
          <w:sz w:val="32"/>
          <w:szCs w:val="32"/>
          <w:u w:val="none"/>
        </w:rPr>
        <w:t xml:space="preserve">  </w:t>
      </w:r>
      <w:r>
        <w:rPr>
          <w:rFonts w:hint="eastAsia" w:ascii="仿宋_GB2312" w:hAnsi="新宋体" w:eastAsia="仿宋_GB2312" w:cs="新宋体"/>
          <w:color w:val="000000"/>
          <w:sz w:val="32"/>
          <w:szCs w:val="32"/>
          <w:u w:val="none"/>
        </w:rPr>
        <w:t>为加强对不可移动文物的保护与管理，规范不可移动文物的合理利用，继承优秀历史文化遗产，弘扬地域文化特色，根据《中华人民共和国文物保护法》等法律法规，结合我市实际，制定本办法。</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第二条</w:t>
      </w:r>
      <w:r>
        <w:rPr>
          <w:rFonts w:ascii="仿宋_GB2312" w:hAnsi="新宋体" w:eastAsia="仿宋_GB2312" w:cs="新宋体"/>
          <w:color w:val="000000"/>
          <w:sz w:val="32"/>
          <w:szCs w:val="32"/>
          <w:u w:val="none"/>
        </w:rPr>
        <w:t xml:space="preserve">  </w:t>
      </w:r>
      <w:r>
        <w:rPr>
          <w:rFonts w:hint="eastAsia" w:ascii="仿宋_GB2312" w:hAnsi="新宋体" w:eastAsia="仿宋_GB2312" w:cs="新宋体"/>
          <w:color w:val="000000"/>
          <w:sz w:val="32"/>
          <w:szCs w:val="32"/>
          <w:u w:val="none"/>
        </w:rPr>
        <w:t>本市行政区域内不可移动文物的保护、管理和利用工作，适用本办法。</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第三条</w:t>
      </w:r>
      <w:r>
        <w:rPr>
          <w:rFonts w:ascii="仿宋_GB2312" w:hAnsi="新宋体" w:eastAsia="仿宋_GB2312" w:cs="新宋体"/>
          <w:color w:val="000000"/>
          <w:sz w:val="32"/>
          <w:szCs w:val="32"/>
          <w:u w:val="none"/>
        </w:rPr>
        <w:t xml:space="preserve">  </w:t>
      </w:r>
      <w:r>
        <w:rPr>
          <w:rFonts w:hint="eastAsia" w:ascii="仿宋_GB2312" w:hAnsi="新宋体" w:eastAsia="仿宋_GB2312" w:cs="新宋体"/>
          <w:color w:val="000000"/>
          <w:sz w:val="32"/>
          <w:szCs w:val="32"/>
          <w:u w:val="none"/>
        </w:rPr>
        <w:t>本办法所称不可移动文物，是指被县级以上人民政府核定公布的文物保护单位，以及依法登记的尚未被核定公布为文物保护单位的不可移动文物，包括古文化遗址、古墓葬、古建筑、石窟寺、石刻、壁画、近代现代重要史迹和代表性建筑等。</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第四条</w:t>
      </w:r>
      <w:r>
        <w:rPr>
          <w:rFonts w:ascii="仿宋_GB2312" w:hAnsi="新宋体" w:eastAsia="仿宋_GB2312" w:cs="新宋体"/>
          <w:color w:val="000000"/>
          <w:sz w:val="32"/>
          <w:szCs w:val="32"/>
          <w:u w:val="none"/>
        </w:rPr>
        <w:t xml:space="preserve">  </w:t>
      </w:r>
      <w:r>
        <w:rPr>
          <w:rFonts w:hint="eastAsia" w:ascii="仿宋_GB2312" w:hAnsi="新宋体" w:eastAsia="仿宋_GB2312" w:cs="新宋体"/>
          <w:color w:val="000000"/>
          <w:sz w:val="32"/>
          <w:szCs w:val="32"/>
          <w:u w:val="none"/>
        </w:rPr>
        <w:t>不可移动文物保护遵循政府主导、部门协作、社会参与、合理利用的原则。</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第五条</w:t>
      </w:r>
      <w:r>
        <w:rPr>
          <w:rFonts w:ascii="仿宋_GB2312" w:hAnsi="新宋体" w:eastAsia="仿宋_GB2312" w:cs="新宋体"/>
          <w:color w:val="000000"/>
          <w:sz w:val="32"/>
          <w:szCs w:val="32"/>
          <w:u w:val="none"/>
        </w:rPr>
        <w:t xml:space="preserve">  </w:t>
      </w:r>
      <w:r>
        <w:rPr>
          <w:rFonts w:hint="eastAsia" w:ascii="仿宋_GB2312" w:hAnsi="新宋体" w:eastAsia="仿宋_GB2312" w:cs="新宋体"/>
          <w:color w:val="000000"/>
          <w:sz w:val="32"/>
          <w:szCs w:val="32"/>
          <w:u w:val="none"/>
        </w:rPr>
        <w:t>市、区县（市）及乡镇人民政府（街道办事处）负责本行政区域内不可移动文物保护工作。</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市、区县（市）文物行政主管部门对本行政区域内不可移动文物保护实施监督管理。</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市、区县（市）人民政府（管委会）规划、住房城乡建设、国土资源、公安、财政、教育、旅游、宗教、消防等部门在各自职责范围内负责有关的不可移动文物保护工作。</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第六条</w:t>
      </w:r>
      <w:r>
        <w:rPr>
          <w:rFonts w:ascii="仿宋_GB2312" w:hAnsi="新宋体" w:eastAsia="仿宋_GB2312" w:cs="新宋体"/>
          <w:color w:val="000000"/>
          <w:sz w:val="32"/>
          <w:szCs w:val="32"/>
          <w:u w:val="none"/>
        </w:rPr>
        <w:t xml:space="preserve">  </w:t>
      </w:r>
      <w:r>
        <w:rPr>
          <w:rFonts w:hint="eastAsia" w:ascii="仿宋_GB2312" w:hAnsi="新宋体" w:eastAsia="仿宋_GB2312" w:cs="新宋体"/>
          <w:color w:val="000000"/>
          <w:sz w:val="32"/>
          <w:szCs w:val="32"/>
          <w:u w:val="none"/>
        </w:rPr>
        <w:t>本市行政区域内不可移动文物保护工作纳入各级领导责任制内容，并纳入各级政府目标管理考核。</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健全市、区县（市）、乡镇（街道）、村（社区）四级不可移动文物安全管理网络，逐级落实文物安全责任。</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建立不可移动文物保护员制度，推行政府购买文物保护服务，逐处落实文物安全责任单位或责任人。</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bCs/>
          <w:color w:val="000000"/>
          <w:sz w:val="32"/>
          <w:szCs w:val="32"/>
          <w:u w:val="none"/>
        </w:rPr>
        <w:t>第七条</w:t>
      </w:r>
      <w:r>
        <w:rPr>
          <w:rFonts w:ascii="仿宋_GB2312" w:hAnsi="新宋体" w:eastAsia="仿宋_GB2312" w:cs="新宋体"/>
          <w:color w:val="000000"/>
          <w:sz w:val="32"/>
          <w:szCs w:val="32"/>
          <w:u w:val="none"/>
        </w:rPr>
        <w:t xml:space="preserve"> </w:t>
      </w:r>
      <w:r>
        <w:rPr>
          <w:rFonts w:ascii="仿宋_GB2312" w:hAnsi="新宋体" w:eastAsia="仿宋_GB2312" w:cs="新宋体"/>
          <w:bCs/>
          <w:color w:val="000000"/>
          <w:sz w:val="32"/>
          <w:szCs w:val="32"/>
          <w:u w:val="none"/>
        </w:rPr>
        <w:t xml:space="preserve"> </w:t>
      </w:r>
      <w:r>
        <w:rPr>
          <w:rFonts w:hint="eastAsia" w:ascii="仿宋_GB2312" w:hAnsi="新宋体" w:eastAsia="仿宋_GB2312" w:cs="新宋体"/>
          <w:color w:val="000000"/>
          <w:sz w:val="32"/>
          <w:szCs w:val="32"/>
          <w:u w:val="none"/>
        </w:rPr>
        <w:t>市、区县（市）人民政府（管委会）应当将不可移动文物保护事业纳入本级国民经济和社会发展规划，所需不可移动文物保护经费列入本级财政预算，并随财政收入的增长而增加。</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不可移动文物安全管理专项资金列入市、区县（市）财政预算，专项用于不可移动文物安全设施维护和文物保护员工资。</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不可移动文物保护单位的事业性收入和社会捐赠专门用于不可移动文物保护，任何单位和个人不得侵占、挪用。</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第八条</w:t>
      </w:r>
      <w:r>
        <w:rPr>
          <w:rFonts w:ascii="仿宋_GB2312" w:hAnsi="新宋体" w:eastAsia="仿宋_GB2312" w:cs="新宋体"/>
          <w:color w:val="000000"/>
          <w:sz w:val="32"/>
          <w:szCs w:val="32"/>
          <w:u w:val="none"/>
        </w:rPr>
        <w:t xml:space="preserve">  </w:t>
      </w:r>
      <w:r>
        <w:rPr>
          <w:rFonts w:hint="eastAsia" w:ascii="仿宋_GB2312" w:hAnsi="新宋体" w:eastAsia="仿宋_GB2312" w:cs="新宋体"/>
          <w:color w:val="000000"/>
          <w:sz w:val="32"/>
          <w:szCs w:val="32"/>
          <w:u w:val="none"/>
        </w:rPr>
        <w:t>文物行政主管部门应当会同教育、科技、网信、新闻出版、广播电视等部门单位，共同做好不可移动文物保护的宣传教育工作。</w:t>
      </w:r>
      <w:r>
        <w:rPr>
          <w:rFonts w:ascii="仿宋_GB2312" w:hAnsi="新宋体" w:eastAsia="仿宋_GB2312" w:cs="新宋体"/>
          <w:color w:val="000000"/>
          <w:sz w:val="32"/>
          <w:szCs w:val="32"/>
          <w:u w:val="none"/>
        </w:rPr>
        <w:t xml:space="preserve"> </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第九条</w:t>
      </w:r>
      <w:r>
        <w:rPr>
          <w:rFonts w:ascii="仿宋_GB2312" w:hAnsi="新宋体" w:eastAsia="仿宋_GB2312" w:cs="新宋体"/>
          <w:color w:val="000000"/>
          <w:sz w:val="32"/>
          <w:szCs w:val="32"/>
          <w:u w:val="none"/>
        </w:rPr>
        <w:t xml:space="preserve">  </w:t>
      </w:r>
      <w:r>
        <w:rPr>
          <w:rFonts w:hint="eastAsia" w:ascii="仿宋_GB2312" w:hAnsi="新宋体" w:eastAsia="仿宋_GB2312" w:cs="新宋体"/>
          <w:color w:val="000000"/>
          <w:sz w:val="32"/>
          <w:szCs w:val="32"/>
          <w:u w:val="none"/>
        </w:rPr>
        <w:t>任何单位和个人都有保护不可移动文物的义务，有权制止、举报破坏、损害不可移动文物及其保护标志的行为。</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鼓励群众性组织、个人参与不可移动文物保护活动。市、区县（市）人民政府（管委会）对不可移动文物保护工作做出突出贡献的单位和个人给予表彰和奖励。</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第十条</w:t>
      </w:r>
      <w:r>
        <w:rPr>
          <w:rFonts w:ascii="仿宋_GB2312" w:hAnsi="新宋体" w:eastAsia="仿宋_GB2312" w:cs="新宋体"/>
          <w:color w:val="000000"/>
          <w:sz w:val="32"/>
          <w:szCs w:val="32"/>
          <w:u w:val="none"/>
        </w:rPr>
        <w:t xml:space="preserve">  </w:t>
      </w:r>
      <w:r>
        <w:rPr>
          <w:rFonts w:hint="eastAsia" w:ascii="仿宋_GB2312" w:hAnsi="新宋体" w:eastAsia="仿宋_GB2312" w:cs="新宋体"/>
          <w:strike w:val="0"/>
          <w:dstrike w:val="0"/>
          <w:color w:val="000000" w:themeColor="text1"/>
          <w:sz w:val="32"/>
          <w:szCs w:val="32"/>
          <w:u w:val="none"/>
          <w:lang w:eastAsia="zh-CN"/>
        </w:rPr>
        <w:t>“市”</w:t>
      </w:r>
      <w:r>
        <w:rPr>
          <w:rFonts w:hint="eastAsia" w:ascii="仿宋_GB2312" w:hAnsi="新宋体" w:eastAsia="仿宋_GB2312" w:cs="新宋体"/>
          <w:strike w:val="0"/>
          <w:color w:val="000000" w:themeColor="text1"/>
          <w:sz w:val="32"/>
          <w:szCs w:val="32"/>
          <w:u w:val="none"/>
          <w:lang w:eastAsia="zh-CN"/>
        </w:rPr>
        <w:t>、</w:t>
      </w:r>
      <w:r>
        <w:rPr>
          <w:rFonts w:hint="eastAsia" w:ascii="仿宋_GB2312" w:hAnsi="新宋体" w:eastAsia="仿宋_GB2312" w:cs="新宋体"/>
          <w:strike w:val="0"/>
          <w:color w:val="000000" w:themeColor="text1"/>
          <w:sz w:val="32"/>
          <w:szCs w:val="32"/>
          <w:u w:val="none"/>
        </w:rPr>
        <w:t>区</w:t>
      </w:r>
      <w:r>
        <w:rPr>
          <w:rFonts w:hint="eastAsia" w:ascii="仿宋_GB2312" w:hAnsi="新宋体" w:eastAsia="仿宋_GB2312" w:cs="新宋体"/>
          <w:color w:val="000000"/>
          <w:sz w:val="32"/>
          <w:szCs w:val="32"/>
          <w:u w:val="none"/>
        </w:rPr>
        <w:t>县（市）文物行政主管部门应当依法开展对各类不可移动文物的认定、登记和公布工作，制定各类不可移动文物的具体保护措施并公告施行。</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市、区县（市）人民政府（管委会）</w:t>
      </w:r>
      <w:r>
        <w:rPr>
          <w:rFonts w:hint="eastAsia" w:ascii="仿宋_GB2312" w:hAnsi="新宋体" w:eastAsia="仿宋_GB2312" w:cs="新宋体"/>
          <w:color w:val="000000" w:themeColor="text1"/>
          <w:sz w:val="32"/>
          <w:szCs w:val="32"/>
          <w:u w:val="none"/>
        </w:rPr>
        <w:t>应当依法</w:t>
      </w:r>
      <w:r>
        <w:rPr>
          <w:rFonts w:hint="eastAsia" w:ascii="仿宋_GB2312" w:hAnsi="新宋体" w:eastAsia="仿宋_GB2312" w:cs="新宋体"/>
          <w:color w:val="000000" w:themeColor="text1"/>
          <w:sz w:val="32"/>
          <w:szCs w:val="32"/>
          <w:u w:val="none"/>
          <w:lang w:eastAsia="zh-CN"/>
        </w:rPr>
        <w:t>对文</w:t>
      </w:r>
      <w:r>
        <w:rPr>
          <w:rFonts w:hint="eastAsia" w:ascii="仿宋_GB2312" w:hAnsi="新宋体" w:eastAsia="仿宋_GB2312" w:cs="新宋体"/>
          <w:color w:val="000000"/>
          <w:sz w:val="32"/>
          <w:szCs w:val="32"/>
          <w:u w:val="none"/>
          <w:lang w:eastAsia="zh-CN"/>
        </w:rPr>
        <w:t>物保护单位划定必要的保护范围、建设控制地带，作出标志说</w:t>
      </w:r>
      <w:r>
        <w:rPr>
          <w:rFonts w:hint="eastAsia" w:ascii="仿宋_GB2312" w:hAnsi="新宋体" w:eastAsia="仿宋_GB2312" w:cs="新宋体"/>
          <w:color w:val="000000"/>
          <w:sz w:val="32"/>
          <w:szCs w:val="32"/>
          <w:u w:val="none"/>
        </w:rPr>
        <w:t>明，建立记录档案，并设置专门机构或者安排专人负责管理。</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第十一条</w:t>
      </w:r>
      <w:r>
        <w:rPr>
          <w:rFonts w:ascii="仿宋_GB2312" w:hAnsi="新宋体" w:eastAsia="仿宋_GB2312" w:cs="新宋体"/>
          <w:color w:val="000000"/>
          <w:sz w:val="32"/>
          <w:szCs w:val="32"/>
          <w:u w:val="none"/>
        </w:rPr>
        <w:t xml:space="preserve">  </w:t>
      </w:r>
      <w:r>
        <w:rPr>
          <w:rFonts w:hint="eastAsia" w:ascii="仿宋_GB2312" w:hAnsi="新宋体" w:eastAsia="仿宋_GB2312" w:cs="新宋体"/>
          <w:color w:val="000000"/>
          <w:sz w:val="32"/>
          <w:szCs w:val="32"/>
          <w:u w:val="none"/>
        </w:rPr>
        <w:t>市、区县（市）文物行政主管部门应当将本行政区域内的文物保护单位名录、保护级别、保护范围、建设控制地带、管理机构（管理人）以及保护规划、保护措施等信息在本级政府网站公布，并及时更新。</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第十二条</w:t>
      </w:r>
      <w:r>
        <w:rPr>
          <w:rFonts w:ascii="仿宋_GB2312" w:hAnsi="新宋体" w:eastAsia="仿宋_GB2312" w:cs="新宋体"/>
          <w:color w:val="000000"/>
          <w:sz w:val="32"/>
          <w:szCs w:val="32"/>
          <w:u w:val="none"/>
        </w:rPr>
        <w:t xml:space="preserve">  </w:t>
      </w:r>
      <w:r>
        <w:rPr>
          <w:rFonts w:hint="eastAsia" w:ascii="仿宋_GB2312" w:hAnsi="新宋体" w:eastAsia="仿宋_GB2312" w:cs="新宋体"/>
          <w:color w:val="000000"/>
          <w:sz w:val="32"/>
          <w:szCs w:val="32"/>
          <w:u w:val="none"/>
        </w:rPr>
        <w:t>文物行政主管部门应当根据不可移动文物保护的需要，会同本级城乡规划建设部门制定全域性文物保护单位保护规划，并商定对各级文物保护单位和地下文物埋藏区的保护措施，将文物保护单位的保护范围、建设控制地带以及文物埋藏区等纳入城市控制性详细规划。</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第十三条</w:t>
      </w:r>
      <w:r>
        <w:rPr>
          <w:rFonts w:ascii="仿宋_GB2312" w:hAnsi="新宋体" w:eastAsia="仿宋_GB2312" w:cs="新宋体"/>
          <w:color w:val="000000"/>
          <w:sz w:val="32"/>
          <w:szCs w:val="32"/>
          <w:u w:val="none"/>
        </w:rPr>
        <w:t xml:space="preserve">  </w:t>
      </w:r>
      <w:r>
        <w:rPr>
          <w:rFonts w:hint="eastAsia" w:ascii="仿宋_GB2312" w:hAnsi="新宋体" w:eastAsia="仿宋_GB2312" w:cs="新宋体"/>
          <w:color w:val="000000"/>
          <w:sz w:val="32"/>
          <w:szCs w:val="32"/>
          <w:u w:val="none"/>
        </w:rPr>
        <w:t>对保存文物特别丰富且具有重大历史价值或者革命纪念意义的城镇、街道、村庄，城乡规划建设部门应当会同本级文物行政主管部门进行调查和初步论证。符合条件的，依法申报历史文化名城或街区、名镇、名村。</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第十四条</w:t>
      </w:r>
      <w:r>
        <w:rPr>
          <w:rFonts w:ascii="仿宋_GB2312" w:hAnsi="新宋体" w:eastAsia="仿宋_GB2312" w:cs="新宋体"/>
          <w:color w:val="000000"/>
          <w:sz w:val="32"/>
          <w:szCs w:val="32"/>
          <w:u w:val="none"/>
        </w:rPr>
        <w:t xml:space="preserve">  </w:t>
      </w:r>
      <w:r>
        <w:rPr>
          <w:rFonts w:hint="eastAsia" w:ascii="仿宋_GB2312" w:hAnsi="新宋体" w:eastAsia="仿宋_GB2312" w:cs="新宋体"/>
          <w:color w:val="000000"/>
          <w:sz w:val="32"/>
          <w:szCs w:val="32"/>
          <w:u w:val="none"/>
        </w:rPr>
        <w:t>市、区县（市）人民政府（管委会）应当组织编制本行政区域内历史文化名城、街区、村镇保护规划，并将其纳入城市总体规划。</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编制历史文化名城、街区、村镇保护规划，应当突出对文物的建筑布局、环境和历史风貌等要素的保护。</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第十五条</w:t>
      </w:r>
      <w:r>
        <w:rPr>
          <w:rFonts w:ascii="仿宋_GB2312" w:hAnsi="新宋体" w:eastAsia="仿宋_GB2312" w:cs="新宋体"/>
          <w:color w:val="000000"/>
          <w:sz w:val="32"/>
          <w:szCs w:val="32"/>
          <w:u w:val="none"/>
        </w:rPr>
        <w:t xml:space="preserve">  </w:t>
      </w:r>
      <w:r>
        <w:rPr>
          <w:rFonts w:hint="eastAsia" w:ascii="仿宋_GB2312" w:hAnsi="新宋体" w:eastAsia="仿宋_GB2312" w:cs="新宋体"/>
          <w:color w:val="000000"/>
          <w:sz w:val="32"/>
          <w:szCs w:val="32"/>
          <w:u w:val="none"/>
        </w:rPr>
        <w:t>工程建设项目涉及不可移动文物保护的，相关规划例会应当通知文物行政主管部门参加；规划部门在核发选址意见书、建设用地规划许可证、乡村建设规划许可证前，应当审查建设单位是否依法取得文物行政主管部门的同意和有权批准的人民政府的批准。</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工程建设项目涉及不可移动文物保护的，住房</w:t>
      </w:r>
      <w:r>
        <w:rPr>
          <w:rFonts w:hint="eastAsia" w:ascii="仿宋_GB2312" w:hAnsi="新宋体" w:eastAsia="仿宋_GB2312" w:cs="新宋体"/>
          <w:color w:val="000000"/>
          <w:sz w:val="32"/>
          <w:szCs w:val="32"/>
          <w:u w:val="none"/>
          <w:lang w:eastAsia="zh-CN"/>
        </w:rPr>
        <w:t>和</w:t>
      </w:r>
      <w:bookmarkStart w:id="0" w:name="_GoBack"/>
      <w:bookmarkEnd w:id="0"/>
      <w:r>
        <w:rPr>
          <w:rFonts w:hint="eastAsia" w:ascii="仿宋_GB2312" w:hAnsi="新宋体" w:eastAsia="仿宋_GB2312" w:cs="新宋体"/>
          <w:color w:val="000000"/>
          <w:sz w:val="32"/>
          <w:szCs w:val="32"/>
          <w:u w:val="none"/>
        </w:rPr>
        <w:t>城乡建设部门在核发施工许可证前，应当依法要求建设单位提供文物行政主管部门出具的文化遗产保护评估意见书。</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建设施工单位在施工中发现文物，应当立即停止施工并及时报告文物行政主管部门。文物行政主管部门接到报告后，应当在二十四小时</w:t>
      </w:r>
      <w:r>
        <w:rPr>
          <w:rFonts w:hint="eastAsia" w:ascii="仿宋_GB2312" w:hAnsi="新宋体" w:eastAsia="仿宋_GB2312" w:cs="新宋体"/>
          <w:color w:val="000000" w:themeColor="text1"/>
          <w:sz w:val="32"/>
          <w:szCs w:val="32"/>
          <w:u w:val="none"/>
        </w:rPr>
        <w:t>内达到</w:t>
      </w:r>
      <w:r>
        <w:rPr>
          <w:rFonts w:hint="eastAsia" w:ascii="仿宋_GB2312" w:hAnsi="新宋体" w:eastAsia="仿宋_GB2312" w:cs="新宋体"/>
          <w:color w:val="000000"/>
          <w:sz w:val="32"/>
          <w:szCs w:val="32"/>
          <w:u w:val="none"/>
        </w:rPr>
        <w:t>现场，并在三日内提出处理意见。</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第十六条</w:t>
      </w:r>
      <w:r>
        <w:rPr>
          <w:rFonts w:ascii="仿宋_GB2312" w:hAnsi="新宋体" w:eastAsia="仿宋_GB2312" w:cs="新宋体"/>
          <w:color w:val="000000"/>
          <w:sz w:val="32"/>
          <w:szCs w:val="32"/>
          <w:u w:val="none"/>
        </w:rPr>
        <w:t xml:space="preserve">  </w:t>
      </w:r>
      <w:r>
        <w:rPr>
          <w:rFonts w:hint="eastAsia" w:ascii="仿宋_GB2312" w:hAnsi="新宋体" w:eastAsia="仿宋_GB2312" w:cs="新宋体"/>
          <w:color w:val="000000"/>
          <w:sz w:val="32"/>
          <w:szCs w:val="32"/>
          <w:u w:val="none"/>
        </w:rPr>
        <w:t>文物保护单位的保护范围和建设控制地带内，不得建设危害文物保护单位安全或者污染文物保护单位及其环境的设施。对已有的安全危害或污染设施，当地人民政府应当责令限期治理。</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第十七条</w:t>
      </w:r>
      <w:r>
        <w:rPr>
          <w:rFonts w:ascii="仿宋_GB2312" w:hAnsi="新宋体" w:eastAsia="仿宋_GB2312" w:cs="新宋体"/>
          <w:color w:val="000000"/>
          <w:sz w:val="32"/>
          <w:szCs w:val="32"/>
          <w:u w:val="none"/>
        </w:rPr>
        <w:t xml:space="preserve">  </w:t>
      </w:r>
      <w:r>
        <w:rPr>
          <w:rFonts w:hint="eastAsia" w:ascii="仿宋_GB2312" w:hAnsi="新宋体" w:eastAsia="仿宋_GB2312" w:cs="新宋体"/>
          <w:color w:val="000000"/>
          <w:sz w:val="32"/>
          <w:szCs w:val="32"/>
          <w:u w:val="none"/>
        </w:rPr>
        <w:t>房屋征收拆迁主管部门、土地管理部门在征收拆迁公告发布前，应当就征收拆迁范围内的不可移动文物保护事项征求文物行政主管部门的意见。</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土地管理部门在土地开发、整理、复垦项目立项前，应当就开发、整理、复垦范围内的不可移动文物保护事项征求文物行政主管部门的意见。</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土地管理部门在土地出让前，应当就出让范围内涉及地下文物埋藏区的保护事项征求文物行政主管部门的意见。</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第十八条</w:t>
      </w:r>
      <w:r>
        <w:rPr>
          <w:rFonts w:ascii="仿宋_GB2312" w:hAnsi="新宋体" w:eastAsia="仿宋_GB2312" w:cs="新宋体"/>
          <w:color w:val="000000"/>
          <w:sz w:val="32"/>
          <w:szCs w:val="32"/>
          <w:u w:val="none"/>
        </w:rPr>
        <w:t xml:space="preserve">  </w:t>
      </w:r>
      <w:r>
        <w:rPr>
          <w:rFonts w:hint="eastAsia" w:ascii="仿宋_GB2312" w:hAnsi="新宋体" w:eastAsia="仿宋_GB2312" w:cs="新宋体"/>
          <w:color w:val="000000"/>
          <w:sz w:val="32"/>
          <w:szCs w:val="32"/>
          <w:u w:val="none"/>
        </w:rPr>
        <w:t>对文物保护单位进行修缮，应当报相应文物行政主管部门批准。对未核定为文物保护单位的不可移动文物进行修缮，报县级文物行政主管部门批准。</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无法实施原址保护，必须迁移异地保护或者拆除文物保护单位的，应当报省人民政府批准。全国重点文物保护单位不得拆除；需要迁移的，须提请省人民政府报国务院批准。</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尚未核定公布为文物保护单位的不可移动文物，因建设工程特殊需要必须迁移易地保护或者拆除的，文物行政主管部门应当组织专家进行必要性和可行性论证评估，将相关情况向社会公示，并经市文物行政主管部门同意后，报县级人民政府批准。</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第十九条</w:t>
      </w:r>
      <w:r>
        <w:rPr>
          <w:rFonts w:ascii="仿宋_GB2312" w:hAnsi="新宋体" w:eastAsia="仿宋_GB2312" w:cs="新宋体"/>
          <w:color w:val="000000"/>
          <w:sz w:val="32"/>
          <w:szCs w:val="32"/>
          <w:u w:val="none"/>
        </w:rPr>
        <w:t xml:space="preserve">  </w:t>
      </w:r>
      <w:r>
        <w:rPr>
          <w:rFonts w:hint="eastAsia" w:ascii="仿宋_GB2312" w:hAnsi="新宋体" w:eastAsia="仿宋_GB2312" w:cs="新宋体"/>
          <w:color w:val="000000"/>
          <w:sz w:val="32"/>
          <w:szCs w:val="32"/>
          <w:u w:val="none"/>
        </w:rPr>
        <w:t>开放、利用不可移动文物，应当符合下列条件：</w:t>
      </w:r>
    </w:p>
    <w:p>
      <w:pPr>
        <w:widowControl/>
        <w:shd w:val="clear" w:color="auto" w:fill="FFFFFF"/>
        <w:spacing w:line="600" w:lineRule="exact"/>
        <w:ind w:firstLine="482"/>
        <w:jc w:val="left"/>
        <w:rPr>
          <w:rFonts w:ascii="仿宋_GB2312" w:hAnsi="新宋体" w:eastAsia="仿宋_GB2312" w:cs="Arial"/>
          <w:color w:val="000000"/>
          <w:kern w:val="0"/>
          <w:sz w:val="32"/>
          <w:szCs w:val="32"/>
          <w:u w:val="none"/>
        </w:rPr>
      </w:pPr>
      <w:r>
        <w:rPr>
          <w:rFonts w:hint="eastAsia" w:ascii="仿宋_GB2312" w:hAnsi="新宋体" w:eastAsia="仿宋_GB2312" w:cs="Arial"/>
          <w:color w:val="000000"/>
          <w:kern w:val="0"/>
          <w:sz w:val="32"/>
          <w:szCs w:val="32"/>
          <w:u w:val="none"/>
        </w:rPr>
        <w:t>（一）对文物及历史风貌不造成损害；</w:t>
      </w:r>
    </w:p>
    <w:p>
      <w:pPr>
        <w:widowControl/>
        <w:shd w:val="clear" w:color="auto" w:fill="FFFFFF"/>
        <w:spacing w:line="600" w:lineRule="exact"/>
        <w:ind w:firstLine="482"/>
        <w:jc w:val="left"/>
        <w:rPr>
          <w:rFonts w:ascii="仿宋_GB2312" w:hAnsi="新宋体" w:eastAsia="仿宋_GB2312" w:cs="Arial"/>
          <w:color w:val="000000"/>
          <w:kern w:val="0"/>
          <w:sz w:val="32"/>
          <w:szCs w:val="32"/>
          <w:u w:val="none"/>
        </w:rPr>
      </w:pPr>
      <w:r>
        <w:rPr>
          <w:rFonts w:hint="eastAsia" w:ascii="仿宋_GB2312" w:hAnsi="新宋体" w:eastAsia="仿宋_GB2312" w:cs="Arial"/>
          <w:color w:val="000000"/>
          <w:kern w:val="0"/>
          <w:sz w:val="32"/>
          <w:szCs w:val="32"/>
          <w:u w:val="none"/>
        </w:rPr>
        <w:t>（二）有合法的管理机构和人员；</w:t>
      </w:r>
    </w:p>
    <w:p>
      <w:pPr>
        <w:widowControl/>
        <w:shd w:val="clear" w:color="auto" w:fill="FFFFFF"/>
        <w:spacing w:line="600" w:lineRule="exact"/>
        <w:ind w:firstLine="482"/>
        <w:jc w:val="left"/>
        <w:rPr>
          <w:rFonts w:ascii="仿宋_GB2312" w:hAnsi="新宋体" w:eastAsia="仿宋_GB2312" w:cs="Arial"/>
          <w:color w:val="000000"/>
          <w:kern w:val="0"/>
          <w:sz w:val="32"/>
          <w:szCs w:val="32"/>
          <w:u w:val="none"/>
        </w:rPr>
      </w:pPr>
      <w:r>
        <w:rPr>
          <w:rFonts w:hint="eastAsia" w:ascii="仿宋_GB2312" w:hAnsi="新宋体" w:eastAsia="仿宋_GB2312" w:cs="Arial"/>
          <w:color w:val="000000"/>
          <w:kern w:val="0"/>
          <w:sz w:val="32"/>
          <w:szCs w:val="32"/>
          <w:u w:val="none"/>
        </w:rPr>
        <w:t>（三）已划定保护范围和建设控制地带，设立标志说明；</w:t>
      </w:r>
    </w:p>
    <w:p>
      <w:pPr>
        <w:widowControl/>
        <w:shd w:val="clear" w:color="auto" w:fill="FFFFFF"/>
        <w:spacing w:line="600" w:lineRule="exact"/>
        <w:ind w:firstLine="482"/>
        <w:jc w:val="left"/>
        <w:rPr>
          <w:rFonts w:ascii="仿宋_GB2312" w:hAnsi="新宋体" w:eastAsia="仿宋_GB2312" w:cs="Arial"/>
          <w:color w:val="000000"/>
          <w:kern w:val="0"/>
          <w:sz w:val="32"/>
          <w:szCs w:val="32"/>
          <w:u w:val="none"/>
        </w:rPr>
      </w:pPr>
      <w:r>
        <w:rPr>
          <w:rFonts w:hint="eastAsia" w:ascii="仿宋_GB2312" w:hAnsi="新宋体" w:eastAsia="仿宋_GB2312" w:cs="Arial"/>
          <w:color w:val="000000"/>
          <w:kern w:val="0"/>
          <w:sz w:val="32"/>
          <w:szCs w:val="32"/>
          <w:u w:val="none"/>
        </w:rPr>
        <w:t>（四）有健全的文物保护管理制度和财务管理制度；</w:t>
      </w:r>
    </w:p>
    <w:p>
      <w:pPr>
        <w:widowControl/>
        <w:shd w:val="clear" w:color="auto" w:fill="FFFFFF"/>
        <w:spacing w:line="600" w:lineRule="exact"/>
        <w:ind w:firstLine="482"/>
        <w:jc w:val="left"/>
        <w:rPr>
          <w:rFonts w:ascii="仿宋_GB2312" w:hAnsi="新宋体" w:eastAsia="仿宋_GB2312" w:cs="Arial"/>
          <w:color w:val="000000"/>
          <w:kern w:val="0"/>
          <w:sz w:val="32"/>
          <w:szCs w:val="32"/>
          <w:u w:val="none"/>
        </w:rPr>
      </w:pPr>
      <w:r>
        <w:rPr>
          <w:rFonts w:hint="eastAsia" w:ascii="仿宋_GB2312" w:hAnsi="新宋体" w:eastAsia="仿宋_GB2312" w:cs="Arial"/>
          <w:color w:val="000000"/>
          <w:kern w:val="0"/>
          <w:sz w:val="32"/>
          <w:szCs w:val="32"/>
          <w:u w:val="none"/>
        </w:rPr>
        <w:t>（五）安全消防设施达到国家规定的风险等级防护标准，安全状况适宜公众参观游览；</w:t>
      </w:r>
    </w:p>
    <w:p>
      <w:pPr>
        <w:widowControl/>
        <w:shd w:val="clear" w:color="auto" w:fill="FFFFFF"/>
        <w:spacing w:line="600" w:lineRule="exact"/>
        <w:ind w:firstLine="482"/>
        <w:jc w:val="left"/>
        <w:rPr>
          <w:rFonts w:ascii="仿宋_GB2312" w:hAnsi="新宋体" w:eastAsia="仿宋_GB2312" w:cs="Arial"/>
          <w:color w:val="000000"/>
          <w:kern w:val="0"/>
          <w:sz w:val="32"/>
          <w:szCs w:val="32"/>
          <w:u w:val="none"/>
        </w:rPr>
      </w:pPr>
      <w:r>
        <w:rPr>
          <w:rFonts w:hint="eastAsia" w:ascii="仿宋_GB2312" w:hAnsi="新宋体" w:eastAsia="仿宋_GB2312" w:cs="Arial"/>
          <w:color w:val="000000"/>
          <w:kern w:val="0"/>
          <w:sz w:val="32"/>
          <w:szCs w:val="32"/>
          <w:u w:val="none"/>
        </w:rPr>
        <w:t>（六）有复原陈列展览或者辅助陈列展览；</w:t>
      </w:r>
    </w:p>
    <w:p>
      <w:pPr>
        <w:widowControl/>
        <w:shd w:val="clear" w:color="auto" w:fill="FFFFFF"/>
        <w:spacing w:line="600" w:lineRule="exact"/>
        <w:ind w:firstLine="482"/>
        <w:jc w:val="left"/>
        <w:rPr>
          <w:rFonts w:ascii="仿宋_GB2312" w:hAnsi="新宋体" w:eastAsia="仿宋_GB2312" w:cs="Arial"/>
          <w:color w:val="000000"/>
          <w:kern w:val="0"/>
          <w:sz w:val="32"/>
          <w:szCs w:val="32"/>
          <w:u w:val="none"/>
        </w:rPr>
      </w:pPr>
      <w:r>
        <w:rPr>
          <w:rFonts w:hint="eastAsia" w:ascii="仿宋_GB2312" w:hAnsi="新宋体" w:eastAsia="仿宋_GB2312" w:cs="Arial"/>
          <w:color w:val="000000"/>
          <w:kern w:val="0"/>
          <w:sz w:val="32"/>
          <w:szCs w:val="32"/>
          <w:u w:val="none"/>
        </w:rPr>
        <w:t>（七）符合法律、法规、规章及国家有关规定。</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第二十条</w:t>
      </w:r>
      <w:r>
        <w:rPr>
          <w:rFonts w:ascii="仿宋_GB2312" w:hAnsi="新宋体" w:eastAsia="仿宋_GB2312" w:cs="新宋体"/>
          <w:color w:val="000000"/>
          <w:sz w:val="32"/>
          <w:szCs w:val="32"/>
          <w:u w:val="none"/>
        </w:rPr>
        <w:t xml:space="preserve">  </w:t>
      </w:r>
      <w:r>
        <w:rPr>
          <w:rFonts w:hint="eastAsia" w:ascii="仿宋_GB2312" w:hAnsi="新宋体" w:eastAsia="仿宋_GB2312" w:cs="新宋体"/>
          <w:color w:val="000000"/>
          <w:sz w:val="32"/>
          <w:szCs w:val="32"/>
          <w:u w:val="none"/>
        </w:rPr>
        <w:t>市、区县（市）人民政府（管委会）应当组织制定文物保护单位开放利用规划，纳入本级旅游规划，鼓励支持开发旅游产品，完善公共配套设施。</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旅游部门根据文物保护单位开放利用规划，应当将开放利用的文物保护单位纳入旅游线路。</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第二十一条</w:t>
      </w:r>
      <w:r>
        <w:rPr>
          <w:rFonts w:ascii="仿宋_GB2312" w:hAnsi="新宋体" w:eastAsia="仿宋_GB2312" w:cs="新宋体"/>
          <w:color w:val="000000"/>
          <w:sz w:val="32"/>
          <w:szCs w:val="32"/>
          <w:u w:val="none"/>
        </w:rPr>
        <w:t xml:space="preserve">  </w:t>
      </w:r>
      <w:r>
        <w:rPr>
          <w:rFonts w:hint="eastAsia" w:ascii="仿宋_GB2312" w:hAnsi="新宋体" w:eastAsia="仿宋_GB2312" w:cs="新宋体"/>
          <w:color w:val="000000"/>
          <w:sz w:val="32"/>
          <w:szCs w:val="32"/>
          <w:u w:val="none"/>
        </w:rPr>
        <w:t>从事旅游观光、宗教活动，举办大型公益活动，以及用其他方式使用、利用不可移动文物，应当确保文物安全，不得损毁、改建、添建或者拆除不可移动文物。</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第二十二条</w:t>
      </w:r>
      <w:r>
        <w:rPr>
          <w:rFonts w:ascii="仿宋_GB2312" w:hAnsi="新宋体" w:eastAsia="仿宋_GB2312" w:cs="新宋体"/>
          <w:color w:val="000000"/>
          <w:sz w:val="32"/>
          <w:szCs w:val="32"/>
          <w:u w:val="none"/>
        </w:rPr>
        <w:t xml:space="preserve">  </w:t>
      </w:r>
      <w:r>
        <w:rPr>
          <w:rFonts w:hint="eastAsia" w:ascii="仿宋_GB2312" w:hAnsi="新宋体" w:eastAsia="仿宋_GB2312" w:cs="新宋体"/>
          <w:color w:val="000000"/>
          <w:sz w:val="32"/>
          <w:szCs w:val="32"/>
          <w:u w:val="none"/>
        </w:rPr>
        <w:t>国家工作人员违反本办法规定的，依法给予行政处分；构成犯罪的，依法追究刑事责任。</w:t>
      </w:r>
    </w:p>
    <w:p>
      <w:pPr>
        <w:spacing w:line="600" w:lineRule="exact"/>
        <w:ind w:firstLine="640" w:firstLineChars="200"/>
        <w:rPr>
          <w:rFonts w:ascii="仿宋_GB2312" w:hAnsi="新宋体" w:eastAsia="仿宋_GB2312" w:cs="新宋体"/>
          <w:color w:val="000000"/>
          <w:sz w:val="32"/>
          <w:szCs w:val="32"/>
          <w:u w:val="none"/>
        </w:rPr>
      </w:pPr>
      <w:r>
        <w:rPr>
          <w:rFonts w:hint="eastAsia" w:ascii="仿宋_GB2312" w:hAnsi="新宋体" w:eastAsia="仿宋_GB2312" w:cs="新宋体"/>
          <w:color w:val="000000"/>
          <w:sz w:val="32"/>
          <w:szCs w:val="32"/>
          <w:u w:val="none"/>
        </w:rPr>
        <w:t>公民、法人和其他组织违反本办法规定的，依照文物保护法律、法规、规章相关规定处理。</w:t>
      </w:r>
    </w:p>
    <w:p>
      <w:pPr>
        <w:spacing w:line="600" w:lineRule="exact"/>
        <w:ind w:firstLine="640" w:firstLineChars="200"/>
        <w:rPr>
          <w:rFonts w:eastAsia="仿宋_GB2312"/>
          <w:color w:val="000000"/>
          <w:kern w:val="0"/>
          <w:sz w:val="32"/>
          <w:szCs w:val="20"/>
          <w:u w:val="none"/>
        </w:rPr>
      </w:pPr>
      <w:r>
        <w:rPr>
          <w:rFonts w:hint="eastAsia" w:ascii="仿宋_GB2312" w:hAnsi="新宋体" w:eastAsia="仿宋_GB2312" w:cs="新宋体"/>
          <w:color w:val="000000"/>
          <w:sz w:val="32"/>
          <w:szCs w:val="32"/>
          <w:u w:val="none"/>
        </w:rPr>
        <w:t>第二十三条</w:t>
      </w:r>
      <w:r>
        <w:rPr>
          <w:rFonts w:ascii="仿宋_GB2312" w:hAnsi="新宋体" w:eastAsia="仿宋_GB2312" w:cs="新宋体"/>
          <w:color w:val="000000"/>
          <w:sz w:val="32"/>
          <w:szCs w:val="32"/>
          <w:u w:val="none"/>
        </w:rPr>
        <w:t xml:space="preserve">  </w:t>
      </w:r>
      <w:r>
        <w:rPr>
          <w:rFonts w:hint="eastAsia" w:ascii="仿宋_GB2312" w:hAnsi="新宋体" w:eastAsia="仿宋_GB2312" w:cs="新宋体"/>
          <w:color w:val="000000"/>
          <w:sz w:val="32"/>
          <w:szCs w:val="32"/>
          <w:u w:val="none"/>
        </w:rPr>
        <w:t>本办法自</w:t>
      </w:r>
      <w:r>
        <w:rPr>
          <w:rFonts w:ascii="仿宋_GB2312" w:hAnsi="新宋体" w:eastAsia="仿宋_GB2312" w:cs="新宋体"/>
          <w:color w:val="000000"/>
          <w:sz w:val="32"/>
          <w:szCs w:val="32"/>
          <w:u w:val="none"/>
        </w:rPr>
        <w:t>2018</w:t>
      </w:r>
      <w:r>
        <w:rPr>
          <w:rFonts w:hint="eastAsia" w:ascii="仿宋_GB2312" w:hAnsi="新宋体" w:eastAsia="仿宋_GB2312" w:cs="新宋体"/>
          <w:color w:val="000000"/>
          <w:sz w:val="32"/>
          <w:szCs w:val="32"/>
          <w:u w:val="none"/>
        </w:rPr>
        <w:t>年</w:t>
      </w:r>
      <w:r>
        <w:rPr>
          <w:rFonts w:ascii="仿宋_GB2312" w:hAnsi="新宋体" w:eastAsia="仿宋_GB2312" w:cs="新宋体"/>
          <w:color w:val="000000"/>
          <w:sz w:val="32"/>
          <w:szCs w:val="32"/>
          <w:u w:val="none"/>
        </w:rPr>
        <w:t>5</w:t>
      </w:r>
      <w:r>
        <w:rPr>
          <w:rFonts w:hint="eastAsia" w:ascii="仿宋_GB2312" w:hAnsi="新宋体" w:eastAsia="仿宋_GB2312" w:cs="新宋体"/>
          <w:color w:val="000000"/>
          <w:sz w:val="32"/>
          <w:szCs w:val="32"/>
          <w:u w:val="none"/>
        </w:rPr>
        <w:t>月</w:t>
      </w:r>
      <w:r>
        <w:rPr>
          <w:rFonts w:ascii="仿宋_GB2312" w:hAnsi="新宋体" w:eastAsia="仿宋_GB2312" w:cs="新宋体"/>
          <w:color w:val="000000"/>
          <w:sz w:val="32"/>
          <w:szCs w:val="32"/>
          <w:u w:val="none"/>
        </w:rPr>
        <w:t>1</w:t>
      </w:r>
      <w:r>
        <w:rPr>
          <w:rFonts w:hint="eastAsia" w:ascii="仿宋_GB2312" w:hAnsi="新宋体" w:eastAsia="仿宋_GB2312" w:cs="新宋体"/>
          <w:color w:val="000000"/>
          <w:sz w:val="32"/>
          <w:szCs w:val="32"/>
          <w:u w:val="none"/>
        </w:rPr>
        <w:t>日起施行。</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18"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4</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kwYjk2NzUyZTI0NmRkZDY0NGZjNTkzYWE3NjNhM2UifQ=="/>
  </w:docVars>
  <w:rsids>
    <w:rsidRoot w:val="727A2715"/>
    <w:rsid w:val="00000EBB"/>
    <w:rsid w:val="0000228E"/>
    <w:rsid w:val="000111B0"/>
    <w:rsid w:val="00017A25"/>
    <w:rsid w:val="000248AD"/>
    <w:rsid w:val="00024D08"/>
    <w:rsid w:val="000276B7"/>
    <w:rsid w:val="00031AF1"/>
    <w:rsid w:val="00034313"/>
    <w:rsid w:val="000507F5"/>
    <w:rsid w:val="00054B74"/>
    <w:rsid w:val="00074DA6"/>
    <w:rsid w:val="00081C48"/>
    <w:rsid w:val="00082105"/>
    <w:rsid w:val="000967EA"/>
    <w:rsid w:val="000A5673"/>
    <w:rsid w:val="000D1635"/>
    <w:rsid w:val="000D3B72"/>
    <w:rsid w:val="000E2834"/>
    <w:rsid w:val="000E6BD2"/>
    <w:rsid w:val="000E769C"/>
    <w:rsid w:val="000F32E5"/>
    <w:rsid w:val="000F46AB"/>
    <w:rsid w:val="000F50C0"/>
    <w:rsid w:val="000F73AA"/>
    <w:rsid w:val="001063EF"/>
    <w:rsid w:val="00120B72"/>
    <w:rsid w:val="00133C8F"/>
    <w:rsid w:val="00135FFC"/>
    <w:rsid w:val="001436CA"/>
    <w:rsid w:val="001473E9"/>
    <w:rsid w:val="00162044"/>
    <w:rsid w:val="001650FF"/>
    <w:rsid w:val="0017134F"/>
    <w:rsid w:val="0017377F"/>
    <w:rsid w:val="00176296"/>
    <w:rsid w:val="00176E08"/>
    <w:rsid w:val="00181204"/>
    <w:rsid w:val="001971F8"/>
    <w:rsid w:val="001A17BD"/>
    <w:rsid w:val="001B065E"/>
    <w:rsid w:val="001B0D34"/>
    <w:rsid w:val="001B34EA"/>
    <w:rsid w:val="001B67C9"/>
    <w:rsid w:val="001C1942"/>
    <w:rsid w:val="001C5D0A"/>
    <w:rsid w:val="001D2F7C"/>
    <w:rsid w:val="00200CA1"/>
    <w:rsid w:val="00205F51"/>
    <w:rsid w:val="00211740"/>
    <w:rsid w:val="00230665"/>
    <w:rsid w:val="002440CE"/>
    <w:rsid w:val="0026283E"/>
    <w:rsid w:val="002670CA"/>
    <w:rsid w:val="00271005"/>
    <w:rsid w:val="00280683"/>
    <w:rsid w:val="002909A1"/>
    <w:rsid w:val="002919EE"/>
    <w:rsid w:val="002A12B2"/>
    <w:rsid w:val="002A2963"/>
    <w:rsid w:val="002A44A3"/>
    <w:rsid w:val="002B4BC7"/>
    <w:rsid w:val="002C0B85"/>
    <w:rsid w:val="002D6621"/>
    <w:rsid w:val="002F0983"/>
    <w:rsid w:val="002F4726"/>
    <w:rsid w:val="002F4EFA"/>
    <w:rsid w:val="002F61EF"/>
    <w:rsid w:val="002F6992"/>
    <w:rsid w:val="0031082D"/>
    <w:rsid w:val="003144C0"/>
    <w:rsid w:val="00325956"/>
    <w:rsid w:val="00334A26"/>
    <w:rsid w:val="00337EEA"/>
    <w:rsid w:val="00355B4E"/>
    <w:rsid w:val="00385E81"/>
    <w:rsid w:val="00386163"/>
    <w:rsid w:val="00390817"/>
    <w:rsid w:val="003A1D04"/>
    <w:rsid w:val="003C5C1D"/>
    <w:rsid w:val="003C6B41"/>
    <w:rsid w:val="003D117F"/>
    <w:rsid w:val="003D428F"/>
    <w:rsid w:val="003D4D76"/>
    <w:rsid w:val="003D5680"/>
    <w:rsid w:val="003D7020"/>
    <w:rsid w:val="003E4C7E"/>
    <w:rsid w:val="003F362A"/>
    <w:rsid w:val="003F603E"/>
    <w:rsid w:val="00403977"/>
    <w:rsid w:val="00405B66"/>
    <w:rsid w:val="0040734C"/>
    <w:rsid w:val="00411079"/>
    <w:rsid w:val="004143E5"/>
    <w:rsid w:val="00417B68"/>
    <w:rsid w:val="0042071C"/>
    <w:rsid w:val="004233E7"/>
    <w:rsid w:val="00425F63"/>
    <w:rsid w:val="00433D50"/>
    <w:rsid w:val="004455F4"/>
    <w:rsid w:val="00455281"/>
    <w:rsid w:val="00456C56"/>
    <w:rsid w:val="004643C2"/>
    <w:rsid w:val="00466C1B"/>
    <w:rsid w:val="004756C3"/>
    <w:rsid w:val="004824E7"/>
    <w:rsid w:val="00493505"/>
    <w:rsid w:val="00497098"/>
    <w:rsid w:val="004A0BD5"/>
    <w:rsid w:val="004A3EA7"/>
    <w:rsid w:val="004A6B60"/>
    <w:rsid w:val="004B07C2"/>
    <w:rsid w:val="004B1921"/>
    <w:rsid w:val="004D118F"/>
    <w:rsid w:val="004F7399"/>
    <w:rsid w:val="00517A15"/>
    <w:rsid w:val="00527EF2"/>
    <w:rsid w:val="00531106"/>
    <w:rsid w:val="00540990"/>
    <w:rsid w:val="00546686"/>
    <w:rsid w:val="00566520"/>
    <w:rsid w:val="0057761A"/>
    <w:rsid w:val="005846F0"/>
    <w:rsid w:val="005863A2"/>
    <w:rsid w:val="00590884"/>
    <w:rsid w:val="0059272B"/>
    <w:rsid w:val="00593323"/>
    <w:rsid w:val="005A0455"/>
    <w:rsid w:val="005A2460"/>
    <w:rsid w:val="005B3855"/>
    <w:rsid w:val="005B55F9"/>
    <w:rsid w:val="005B5A4E"/>
    <w:rsid w:val="005B6243"/>
    <w:rsid w:val="005D36EB"/>
    <w:rsid w:val="005E1CCC"/>
    <w:rsid w:val="005F2D62"/>
    <w:rsid w:val="005F6311"/>
    <w:rsid w:val="006045A3"/>
    <w:rsid w:val="00607CC9"/>
    <w:rsid w:val="0061467C"/>
    <w:rsid w:val="00616C51"/>
    <w:rsid w:val="00624886"/>
    <w:rsid w:val="00625821"/>
    <w:rsid w:val="00626FDB"/>
    <w:rsid w:val="006275E4"/>
    <w:rsid w:val="00642B65"/>
    <w:rsid w:val="00646728"/>
    <w:rsid w:val="00646F7A"/>
    <w:rsid w:val="0066036A"/>
    <w:rsid w:val="006621A3"/>
    <w:rsid w:val="006639C4"/>
    <w:rsid w:val="00665B3A"/>
    <w:rsid w:val="006673DA"/>
    <w:rsid w:val="00670336"/>
    <w:rsid w:val="006A5898"/>
    <w:rsid w:val="006A5BB0"/>
    <w:rsid w:val="006A6036"/>
    <w:rsid w:val="006B1ACB"/>
    <w:rsid w:val="006C0A87"/>
    <w:rsid w:val="006C1B6F"/>
    <w:rsid w:val="006C31B2"/>
    <w:rsid w:val="006D1330"/>
    <w:rsid w:val="006D137E"/>
    <w:rsid w:val="006D5B5A"/>
    <w:rsid w:val="006D5EC9"/>
    <w:rsid w:val="006D75B7"/>
    <w:rsid w:val="006E2E71"/>
    <w:rsid w:val="006E489B"/>
    <w:rsid w:val="006F2B4E"/>
    <w:rsid w:val="00704500"/>
    <w:rsid w:val="00714D79"/>
    <w:rsid w:val="00716CB7"/>
    <w:rsid w:val="00741695"/>
    <w:rsid w:val="00743963"/>
    <w:rsid w:val="0074675A"/>
    <w:rsid w:val="007467F0"/>
    <w:rsid w:val="00750BA8"/>
    <w:rsid w:val="007714E5"/>
    <w:rsid w:val="00772469"/>
    <w:rsid w:val="00773F2C"/>
    <w:rsid w:val="00790D35"/>
    <w:rsid w:val="00791C41"/>
    <w:rsid w:val="007B47FC"/>
    <w:rsid w:val="007C2147"/>
    <w:rsid w:val="007C5028"/>
    <w:rsid w:val="007D09A4"/>
    <w:rsid w:val="007D2D17"/>
    <w:rsid w:val="007D4650"/>
    <w:rsid w:val="007E3C57"/>
    <w:rsid w:val="007E7AB2"/>
    <w:rsid w:val="007F63B5"/>
    <w:rsid w:val="00803202"/>
    <w:rsid w:val="00810266"/>
    <w:rsid w:val="0081061A"/>
    <w:rsid w:val="008329FB"/>
    <w:rsid w:val="008433A2"/>
    <w:rsid w:val="008435B9"/>
    <w:rsid w:val="00853222"/>
    <w:rsid w:val="008535A6"/>
    <w:rsid w:val="00863FDD"/>
    <w:rsid w:val="00865031"/>
    <w:rsid w:val="00892ADE"/>
    <w:rsid w:val="00895616"/>
    <w:rsid w:val="00895FCC"/>
    <w:rsid w:val="008A0368"/>
    <w:rsid w:val="008A2896"/>
    <w:rsid w:val="008A4583"/>
    <w:rsid w:val="008A633E"/>
    <w:rsid w:val="008B34AE"/>
    <w:rsid w:val="008B4168"/>
    <w:rsid w:val="008C3150"/>
    <w:rsid w:val="008D544E"/>
    <w:rsid w:val="008D5A12"/>
    <w:rsid w:val="008D6B49"/>
    <w:rsid w:val="008E3BD8"/>
    <w:rsid w:val="009057F1"/>
    <w:rsid w:val="00912415"/>
    <w:rsid w:val="0091771C"/>
    <w:rsid w:val="00917999"/>
    <w:rsid w:val="00920016"/>
    <w:rsid w:val="00925D5C"/>
    <w:rsid w:val="00940474"/>
    <w:rsid w:val="00944A1A"/>
    <w:rsid w:val="0095414D"/>
    <w:rsid w:val="00955018"/>
    <w:rsid w:val="0096637B"/>
    <w:rsid w:val="009666BA"/>
    <w:rsid w:val="00967534"/>
    <w:rsid w:val="009717C8"/>
    <w:rsid w:val="00975509"/>
    <w:rsid w:val="00981455"/>
    <w:rsid w:val="0098534F"/>
    <w:rsid w:val="00994BE3"/>
    <w:rsid w:val="009A180C"/>
    <w:rsid w:val="009A5E5E"/>
    <w:rsid w:val="009A6C2E"/>
    <w:rsid w:val="009B15F0"/>
    <w:rsid w:val="009B5FED"/>
    <w:rsid w:val="009D0B70"/>
    <w:rsid w:val="009E6002"/>
    <w:rsid w:val="009E60B4"/>
    <w:rsid w:val="009F3487"/>
    <w:rsid w:val="009F3A91"/>
    <w:rsid w:val="00A0149A"/>
    <w:rsid w:val="00A17DD4"/>
    <w:rsid w:val="00A34FE5"/>
    <w:rsid w:val="00A4744B"/>
    <w:rsid w:val="00A52881"/>
    <w:rsid w:val="00A54D7C"/>
    <w:rsid w:val="00A56029"/>
    <w:rsid w:val="00A56847"/>
    <w:rsid w:val="00A65002"/>
    <w:rsid w:val="00AA3CE2"/>
    <w:rsid w:val="00AA499A"/>
    <w:rsid w:val="00AA5397"/>
    <w:rsid w:val="00AB5AC7"/>
    <w:rsid w:val="00AC34EB"/>
    <w:rsid w:val="00AC5FB6"/>
    <w:rsid w:val="00AD2AFB"/>
    <w:rsid w:val="00AE1EB4"/>
    <w:rsid w:val="00AE6A5E"/>
    <w:rsid w:val="00B07F41"/>
    <w:rsid w:val="00B14B4F"/>
    <w:rsid w:val="00B160DB"/>
    <w:rsid w:val="00B246A3"/>
    <w:rsid w:val="00B2498E"/>
    <w:rsid w:val="00B35B5F"/>
    <w:rsid w:val="00B37850"/>
    <w:rsid w:val="00B607FB"/>
    <w:rsid w:val="00B71E53"/>
    <w:rsid w:val="00B774EC"/>
    <w:rsid w:val="00B77635"/>
    <w:rsid w:val="00B776A4"/>
    <w:rsid w:val="00B80CB2"/>
    <w:rsid w:val="00B85A10"/>
    <w:rsid w:val="00B91292"/>
    <w:rsid w:val="00BA36CB"/>
    <w:rsid w:val="00BA4429"/>
    <w:rsid w:val="00BD11FD"/>
    <w:rsid w:val="00BD2368"/>
    <w:rsid w:val="00C2333B"/>
    <w:rsid w:val="00C237C8"/>
    <w:rsid w:val="00C25C9F"/>
    <w:rsid w:val="00C35508"/>
    <w:rsid w:val="00C35E6B"/>
    <w:rsid w:val="00C4053C"/>
    <w:rsid w:val="00C42792"/>
    <w:rsid w:val="00C512AB"/>
    <w:rsid w:val="00C628FC"/>
    <w:rsid w:val="00C635B6"/>
    <w:rsid w:val="00C64E32"/>
    <w:rsid w:val="00C66ACE"/>
    <w:rsid w:val="00C846A2"/>
    <w:rsid w:val="00CA4583"/>
    <w:rsid w:val="00CA5893"/>
    <w:rsid w:val="00CA74AC"/>
    <w:rsid w:val="00CB3920"/>
    <w:rsid w:val="00CB3DFD"/>
    <w:rsid w:val="00CB5ED4"/>
    <w:rsid w:val="00CC1996"/>
    <w:rsid w:val="00CD104C"/>
    <w:rsid w:val="00CD5004"/>
    <w:rsid w:val="00CE3E25"/>
    <w:rsid w:val="00CE6195"/>
    <w:rsid w:val="00CF1360"/>
    <w:rsid w:val="00D02296"/>
    <w:rsid w:val="00D03401"/>
    <w:rsid w:val="00D07E97"/>
    <w:rsid w:val="00D1268A"/>
    <w:rsid w:val="00D14B96"/>
    <w:rsid w:val="00D16129"/>
    <w:rsid w:val="00D30E2F"/>
    <w:rsid w:val="00D345D4"/>
    <w:rsid w:val="00D53972"/>
    <w:rsid w:val="00D655CD"/>
    <w:rsid w:val="00D66362"/>
    <w:rsid w:val="00D6664F"/>
    <w:rsid w:val="00D678C1"/>
    <w:rsid w:val="00D70727"/>
    <w:rsid w:val="00D7139B"/>
    <w:rsid w:val="00D73905"/>
    <w:rsid w:val="00D75E82"/>
    <w:rsid w:val="00D837C5"/>
    <w:rsid w:val="00D862C1"/>
    <w:rsid w:val="00D91C91"/>
    <w:rsid w:val="00D931A2"/>
    <w:rsid w:val="00DA1468"/>
    <w:rsid w:val="00DA5173"/>
    <w:rsid w:val="00DA5F22"/>
    <w:rsid w:val="00DA70BB"/>
    <w:rsid w:val="00DB4A80"/>
    <w:rsid w:val="00DC22F7"/>
    <w:rsid w:val="00DD33CE"/>
    <w:rsid w:val="00DD676A"/>
    <w:rsid w:val="00DD77C2"/>
    <w:rsid w:val="00E00F57"/>
    <w:rsid w:val="00E036D5"/>
    <w:rsid w:val="00E06846"/>
    <w:rsid w:val="00E12B37"/>
    <w:rsid w:val="00E14E0F"/>
    <w:rsid w:val="00E32A4C"/>
    <w:rsid w:val="00E43229"/>
    <w:rsid w:val="00E44456"/>
    <w:rsid w:val="00E45623"/>
    <w:rsid w:val="00E467BC"/>
    <w:rsid w:val="00E53C16"/>
    <w:rsid w:val="00E64470"/>
    <w:rsid w:val="00E65403"/>
    <w:rsid w:val="00E65C7C"/>
    <w:rsid w:val="00E93931"/>
    <w:rsid w:val="00EB5788"/>
    <w:rsid w:val="00EB5AD0"/>
    <w:rsid w:val="00EB7EC1"/>
    <w:rsid w:val="00EC29BC"/>
    <w:rsid w:val="00EE25F7"/>
    <w:rsid w:val="00F0623C"/>
    <w:rsid w:val="00F073BB"/>
    <w:rsid w:val="00F14A63"/>
    <w:rsid w:val="00F34B1B"/>
    <w:rsid w:val="00F4139B"/>
    <w:rsid w:val="00F43D68"/>
    <w:rsid w:val="00F47966"/>
    <w:rsid w:val="00F53A8F"/>
    <w:rsid w:val="00F55235"/>
    <w:rsid w:val="00F60640"/>
    <w:rsid w:val="00F60EED"/>
    <w:rsid w:val="00F6552B"/>
    <w:rsid w:val="00F825BC"/>
    <w:rsid w:val="00F93E0B"/>
    <w:rsid w:val="00F94159"/>
    <w:rsid w:val="00FA1860"/>
    <w:rsid w:val="00FA1E97"/>
    <w:rsid w:val="00FB0B13"/>
    <w:rsid w:val="00FC2E59"/>
    <w:rsid w:val="00FC3914"/>
    <w:rsid w:val="00FC68FF"/>
    <w:rsid w:val="00FF336E"/>
    <w:rsid w:val="01784CAC"/>
    <w:rsid w:val="025C13F5"/>
    <w:rsid w:val="028A75B2"/>
    <w:rsid w:val="044C4CF8"/>
    <w:rsid w:val="05EC3EFE"/>
    <w:rsid w:val="078B6C1C"/>
    <w:rsid w:val="07F01650"/>
    <w:rsid w:val="08461BA0"/>
    <w:rsid w:val="09935001"/>
    <w:rsid w:val="0B242979"/>
    <w:rsid w:val="0E0D3B32"/>
    <w:rsid w:val="0EE014DF"/>
    <w:rsid w:val="0F7C0A21"/>
    <w:rsid w:val="114E443F"/>
    <w:rsid w:val="12585119"/>
    <w:rsid w:val="12B46C23"/>
    <w:rsid w:val="12D96C5B"/>
    <w:rsid w:val="155B6560"/>
    <w:rsid w:val="178A2758"/>
    <w:rsid w:val="19AB214E"/>
    <w:rsid w:val="1AEE1856"/>
    <w:rsid w:val="1DB6165E"/>
    <w:rsid w:val="1E1F41A7"/>
    <w:rsid w:val="20CB58DA"/>
    <w:rsid w:val="214C2F48"/>
    <w:rsid w:val="2211631A"/>
    <w:rsid w:val="22746056"/>
    <w:rsid w:val="23057B9A"/>
    <w:rsid w:val="234714FD"/>
    <w:rsid w:val="24F11315"/>
    <w:rsid w:val="24F32299"/>
    <w:rsid w:val="25974433"/>
    <w:rsid w:val="260B232E"/>
    <w:rsid w:val="268C780A"/>
    <w:rsid w:val="2BC37D4A"/>
    <w:rsid w:val="2C6A3F9D"/>
    <w:rsid w:val="30017844"/>
    <w:rsid w:val="305431B6"/>
    <w:rsid w:val="3138758F"/>
    <w:rsid w:val="31F913F2"/>
    <w:rsid w:val="3210280D"/>
    <w:rsid w:val="327B0437"/>
    <w:rsid w:val="32F2543C"/>
    <w:rsid w:val="33B22A43"/>
    <w:rsid w:val="34084A46"/>
    <w:rsid w:val="358426CF"/>
    <w:rsid w:val="36972DB3"/>
    <w:rsid w:val="38D54888"/>
    <w:rsid w:val="38E92D23"/>
    <w:rsid w:val="3A3163D2"/>
    <w:rsid w:val="3A897C35"/>
    <w:rsid w:val="3BB97F17"/>
    <w:rsid w:val="3CB07A8B"/>
    <w:rsid w:val="3CC01320"/>
    <w:rsid w:val="3E580CB6"/>
    <w:rsid w:val="3F6724F8"/>
    <w:rsid w:val="40200E85"/>
    <w:rsid w:val="485C6071"/>
    <w:rsid w:val="48B913DB"/>
    <w:rsid w:val="4C093C67"/>
    <w:rsid w:val="53270E60"/>
    <w:rsid w:val="5371193E"/>
    <w:rsid w:val="56A462D2"/>
    <w:rsid w:val="572A7EDD"/>
    <w:rsid w:val="582C6232"/>
    <w:rsid w:val="59691DCF"/>
    <w:rsid w:val="59A47566"/>
    <w:rsid w:val="5C2229BF"/>
    <w:rsid w:val="61017593"/>
    <w:rsid w:val="683A07D2"/>
    <w:rsid w:val="691D58F2"/>
    <w:rsid w:val="698C5AFD"/>
    <w:rsid w:val="6AB5738C"/>
    <w:rsid w:val="6B1242EF"/>
    <w:rsid w:val="704A74FF"/>
    <w:rsid w:val="70962D2C"/>
    <w:rsid w:val="70BB5F4E"/>
    <w:rsid w:val="718111B1"/>
    <w:rsid w:val="724B62A4"/>
    <w:rsid w:val="727A2715"/>
    <w:rsid w:val="73951856"/>
    <w:rsid w:val="73FD7BE8"/>
    <w:rsid w:val="748E3BE7"/>
    <w:rsid w:val="75902500"/>
    <w:rsid w:val="773D768A"/>
    <w:rsid w:val="789571C4"/>
    <w:rsid w:val="7DAF091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1"/>
    <w:qFormat/>
    <w:uiPriority w:val="99"/>
    <w:pPr>
      <w:spacing w:beforeAutospacing="1" w:afterAutospacing="1"/>
      <w:jc w:val="left"/>
      <w:outlineLvl w:val="1"/>
    </w:pPr>
    <w:rPr>
      <w:rFonts w:ascii="宋体" w:hAnsi="宋体"/>
      <w:b/>
      <w:kern w:val="0"/>
      <w:sz w:val="36"/>
      <w:szCs w:val="36"/>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locked/>
    <w:uiPriority w:val="99"/>
    <w:rPr>
      <w:rFonts w:ascii="Times New Roman" w:hAnsi="Times New Roman"/>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rPr>
  </w:style>
  <w:style w:type="character" w:styleId="9">
    <w:name w:val="Strong"/>
    <w:basedOn w:val="8"/>
    <w:qFormat/>
    <w:uiPriority w:val="99"/>
    <w:rPr>
      <w:rFonts w:cs="Times New Roman"/>
      <w:b/>
      <w:bCs/>
    </w:rPr>
  </w:style>
  <w:style w:type="character" w:styleId="10">
    <w:name w:val="page number"/>
    <w:basedOn w:val="8"/>
    <w:qFormat/>
    <w:uiPriority w:val="99"/>
    <w:rPr>
      <w:rFonts w:cs="Times New Roman"/>
    </w:rPr>
  </w:style>
  <w:style w:type="character" w:customStyle="1" w:styleId="11">
    <w:name w:val="Heading 2 Char"/>
    <w:basedOn w:val="8"/>
    <w:link w:val="2"/>
    <w:semiHidden/>
    <w:qFormat/>
    <w:locked/>
    <w:uiPriority w:val="99"/>
    <w:rPr>
      <w:rFonts w:ascii="Cambria" w:hAnsi="Cambria" w:eastAsia="宋体" w:cs="Times New Roman"/>
      <w:b/>
      <w:bCs/>
      <w:sz w:val="32"/>
      <w:szCs w:val="32"/>
    </w:rPr>
  </w:style>
  <w:style w:type="character" w:customStyle="1" w:styleId="12">
    <w:name w:val="Header Char"/>
    <w:basedOn w:val="8"/>
    <w:link w:val="5"/>
    <w:semiHidden/>
    <w:qFormat/>
    <w:locked/>
    <w:uiPriority w:val="99"/>
    <w:rPr>
      <w:rFonts w:ascii="Calibri" w:hAnsi="Calibri" w:cs="Times New Roman"/>
      <w:sz w:val="18"/>
      <w:szCs w:val="18"/>
    </w:rPr>
  </w:style>
  <w:style w:type="character" w:customStyle="1" w:styleId="13">
    <w:name w:val="Footer Char"/>
    <w:basedOn w:val="8"/>
    <w:link w:val="4"/>
    <w:semiHidden/>
    <w:qFormat/>
    <w:locked/>
    <w:uiPriority w:val="99"/>
    <w:rPr>
      <w:rFonts w:ascii="Calibri" w:hAnsi="Calibri" w:cs="Times New Roman"/>
      <w:sz w:val="18"/>
      <w:szCs w:val="18"/>
    </w:rPr>
  </w:style>
  <w:style w:type="character" w:customStyle="1" w:styleId="14">
    <w:name w:val="Balloon Text Char"/>
    <w:basedOn w:val="8"/>
    <w:link w:val="3"/>
    <w:semiHidden/>
    <w:qFormat/>
    <w:locked/>
    <w:uiPriority w:val="99"/>
    <w:rPr>
      <w:rFonts w:ascii="Calibri" w:hAnsi="Calibri" w:cs="Times New Roman"/>
      <w:sz w:val="2"/>
    </w:rPr>
  </w:style>
  <w:style w:type="paragraph" w:customStyle="1" w:styleId="15">
    <w:name w:val="p0"/>
    <w:basedOn w:val="1"/>
    <w:qFormat/>
    <w:uiPriority w:val="99"/>
    <w:pPr>
      <w:widowControl/>
    </w:pPr>
    <w:rPr>
      <w:rFonts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6</Pages>
  <Words>2754</Words>
  <Characters>2757</Characters>
  <Lines>0</Lines>
  <Paragraphs>0</Paragraphs>
  <TotalTime>24</TotalTime>
  <ScaleCrop>false</ScaleCrop>
  <LinksUpToDate>false</LinksUpToDate>
  <CharactersWithSpaces>2843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2017-12-25T08:41:00Z</dcterms:created>
  <dc:creator>Administrator</dc:creator>
  <cp:lastModifiedBy>小满姐</cp:lastModifiedBy>
  <cp:lastPrinted>2017-12-27T06:46:00Z</cp:lastPrinted>
  <dcterms:modified xsi:type="dcterms:W3CDTF">2023-10-08T02:03:44Z</dcterms:modified>
  <dc:title>益阳市不可移动文物保护办法</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16A6C3DC4E204C0BA58C760CEEBB3B59_12</vt:lpwstr>
  </property>
</Properties>
</file>