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b/>
          <w:sz w:val="36"/>
          <w:szCs w:val="28"/>
        </w:rPr>
      </w:pPr>
      <w:r>
        <w:rPr>
          <w:rFonts w:hint="eastAsia"/>
          <w:sz w:val="84"/>
          <w:szCs w:val="84"/>
          <w:lang w:eastAsia="zh-CN"/>
        </w:rPr>
        <w:t>沅江市救助乞讨人员救助站</w:t>
      </w:r>
      <w:r>
        <w:rPr>
          <w:rFonts w:hint="eastAsia"/>
          <w:sz w:val="84"/>
          <w:szCs w:val="84"/>
        </w:rPr>
        <w:t>部门决算</w:t>
      </w: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沅江市流浪乞讨人员救助站本级</w:t>
      </w:r>
      <w:r>
        <w:rPr>
          <w:rFonts w:hint="eastAsia"/>
          <w:b/>
          <w:sz w:val="28"/>
          <w:szCs w:val="28"/>
        </w:rPr>
        <w:t>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sz w:val="72"/>
          <w:szCs w:val="72"/>
        </w:rPr>
      </w:pPr>
      <w:r>
        <w:rPr>
          <w:rFonts w:hint="eastAsia" w:ascii="黑体" w:hAnsi="黑体" w:eastAsia="黑体" w:cs="黑体"/>
          <w:b/>
          <w:color w:val="000000"/>
          <w:kern w:val="0"/>
          <w:sz w:val="28"/>
          <w:szCs w:val="28"/>
        </w:rPr>
        <w:t>第五部分附件</w:t>
      </w: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72"/>
          <w:szCs w:val="72"/>
        </w:rPr>
      </w:pPr>
      <w:r>
        <w:rPr>
          <w:rFonts w:hint="eastAsia"/>
          <w:sz w:val="84"/>
          <w:szCs w:val="84"/>
          <w:lang w:eastAsia="zh-CN"/>
        </w:rPr>
        <w:t>沅江市流浪乞讨人员救助站</w:t>
      </w:r>
      <w:r>
        <w:rPr>
          <w:rFonts w:hint="eastAsia"/>
          <w:sz w:val="84"/>
          <w:szCs w:val="84"/>
        </w:rPr>
        <w:t>概况</w:t>
      </w:r>
      <w:bookmarkStart w:id="3" w:name="_GoBack"/>
      <w:bookmarkEnd w:id="3"/>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rPr>
          <w:rFonts w:hint="eastAsia" w:ascii="Arial" w:hAnsi="Arial" w:cs="Arial"/>
          <w:color w:val="3E3E3E"/>
          <w:sz w:val="27"/>
          <w:szCs w:val="27"/>
        </w:rPr>
      </w:pPr>
      <w:r>
        <w:rPr>
          <w:rFonts w:hint="eastAsia" w:ascii="Arial" w:hAnsi="Arial" w:cs="Arial"/>
          <w:color w:val="3E3E3E"/>
          <w:sz w:val="27"/>
          <w:szCs w:val="27"/>
        </w:rPr>
        <w:t>负责城市流浪乞讨人员的救助管理工作</w:t>
      </w:r>
      <w:r>
        <w:rPr>
          <w:rFonts w:ascii="Arial" w:hAnsi="Arial" w:cs="Arial"/>
          <w:color w:val="3E3E3E"/>
          <w:sz w:val="27"/>
          <w:szCs w:val="27"/>
        </w:rPr>
        <w:t>;</w:t>
      </w:r>
      <w:r>
        <w:rPr>
          <w:rFonts w:hint="eastAsia" w:ascii="Arial" w:hAnsi="Arial" w:cs="Arial"/>
          <w:color w:val="3E3E3E"/>
          <w:sz w:val="27"/>
          <w:szCs w:val="27"/>
        </w:rPr>
        <w:t>对符合条件的人员及时提供救助</w:t>
      </w:r>
      <w:r>
        <w:rPr>
          <w:rFonts w:ascii="Arial" w:hAnsi="Arial" w:cs="Arial"/>
          <w:color w:val="3E3E3E"/>
          <w:sz w:val="27"/>
          <w:szCs w:val="27"/>
        </w:rPr>
        <w:t>;</w:t>
      </w:r>
      <w:r>
        <w:rPr>
          <w:rFonts w:hint="eastAsia" w:ascii="Arial" w:hAnsi="Arial" w:cs="Arial"/>
          <w:color w:val="3E3E3E"/>
          <w:sz w:val="27"/>
          <w:szCs w:val="27"/>
        </w:rPr>
        <w:t>本着自愿求助，无偿救助的原则对救助人员进行救助</w:t>
      </w:r>
      <w:r>
        <w:rPr>
          <w:rFonts w:ascii="Arial" w:hAnsi="Arial" w:cs="Arial"/>
          <w:color w:val="3E3E3E"/>
          <w:sz w:val="27"/>
          <w:szCs w:val="27"/>
        </w:rPr>
        <w:t>;</w:t>
      </w:r>
      <w:r>
        <w:rPr>
          <w:rFonts w:hint="eastAsia" w:ascii="Arial" w:hAnsi="Arial" w:cs="Arial"/>
          <w:color w:val="3E3E3E"/>
          <w:sz w:val="27"/>
          <w:szCs w:val="27"/>
        </w:rPr>
        <w:t>向求助的流浪乞讨人员告知救助对象的范围和实施救助的内容，向求助的流浪乞讨人员提供符合食品卫生要求的食物</w:t>
      </w:r>
      <w:r>
        <w:rPr>
          <w:rFonts w:ascii="Arial" w:hAnsi="Arial" w:cs="Arial"/>
          <w:color w:val="3E3E3E"/>
          <w:sz w:val="27"/>
          <w:szCs w:val="27"/>
        </w:rPr>
        <w:t>;</w:t>
      </w:r>
      <w:r>
        <w:rPr>
          <w:rFonts w:hint="eastAsia" w:ascii="Arial" w:hAnsi="Arial" w:cs="Arial"/>
          <w:color w:val="3E3E3E"/>
          <w:sz w:val="27"/>
          <w:szCs w:val="27"/>
        </w:rPr>
        <w:t>帮助受助人员与其亲属或者流出地民政部门联系，文明接待，热情服务，二十四小时内完成核实登记、建档工作</w:t>
      </w:r>
      <w:r>
        <w:rPr>
          <w:rFonts w:ascii="Arial" w:hAnsi="Arial" w:cs="Arial"/>
          <w:color w:val="3E3E3E"/>
          <w:sz w:val="27"/>
          <w:szCs w:val="27"/>
        </w:rPr>
        <w:t>;</w:t>
      </w:r>
      <w:r>
        <w:rPr>
          <w:rFonts w:hint="eastAsia" w:ascii="Arial" w:hAnsi="Arial" w:cs="Arial"/>
          <w:color w:val="3E3E3E"/>
          <w:sz w:val="27"/>
          <w:szCs w:val="27"/>
        </w:rPr>
        <w:t>对未成年人及行动不便的老年人等特定流浪乞讨对象，实施主动救助和帮教，对在站内突发急病的求助流浪乞讨人员及时送医院救治。</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numPr>
          <w:ilvl w:val="0"/>
          <w:numId w:val="2"/>
        </w:numPr>
        <w:jc w:val="left"/>
        <w:rPr>
          <w:rFonts w:ascii="仿宋" w:hAnsi="仿宋" w:eastAsia="仿宋"/>
          <w:sz w:val="30"/>
          <w:szCs w:val="24"/>
        </w:rPr>
      </w:pPr>
      <w:r>
        <w:rPr>
          <w:rFonts w:hint="eastAsia" w:ascii="仿宋" w:hAnsi="仿宋" w:eastAsia="仿宋"/>
          <w:sz w:val="30"/>
          <w:szCs w:val="24"/>
        </w:rPr>
        <w:t>沅江市流浪乞讨人员救助站是民政局下属的二级事业单位。</w:t>
      </w:r>
    </w:p>
    <w:p>
      <w:pPr>
        <w:numPr>
          <w:ilvl w:val="0"/>
          <w:numId w:val="2"/>
        </w:numPr>
        <w:jc w:val="left"/>
        <w:rPr>
          <w:rFonts w:ascii="黑体" w:hAnsi="黑体" w:eastAsia="黑体"/>
          <w:sz w:val="28"/>
          <w:szCs w:val="28"/>
        </w:rPr>
      </w:pPr>
      <w:r>
        <w:rPr>
          <w:rFonts w:hint="eastAsia" w:ascii="仿宋" w:hAnsi="仿宋" w:eastAsia="仿宋"/>
          <w:sz w:val="30"/>
          <w:szCs w:val="24"/>
        </w:rPr>
        <w:t>沅江市流浪乞讨人员救助站是民政局下属的二级事业单位。</w:t>
      </w:r>
      <w:r>
        <w:rPr>
          <w:rFonts w:hint="eastAsia" w:ascii="仿宋" w:hAnsi="仿宋" w:eastAsia="仿宋"/>
          <w:color w:val="000000"/>
          <w:kern w:val="0"/>
          <w:sz w:val="30"/>
          <w:szCs w:val="24"/>
        </w:rPr>
        <w:t>全部纳入</w:t>
      </w:r>
      <w:r>
        <w:rPr>
          <w:rFonts w:ascii="仿宋" w:hAnsi="仿宋" w:eastAsia="仿宋"/>
          <w:color w:val="000000"/>
          <w:kern w:val="0"/>
          <w:sz w:val="30"/>
          <w:szCs w:val="24"/>
        </w:rPr>
        <w:t>20</w:t>
      </w:r>
      <w:r>
        <w:rPr>
          <w:rFonts w:hint="eastAsia" w:ascii="仿宋" w:hAnsi="仿宋" w:eastAsia="仿宋"/>
          <w:color w:val="000000"/>
          <w:kern w:val="0"/>
          <w:sz w:val="30"/>
          <w:szCs w:val="24"/>
          <w:lang w:val="en-US" w:eastAsia="zh-CN"/>
        </w:rPr>
        <w:t>21</w:t>
      </w:r>
      <w:r>
        <w:rPr>
          <w:rFonts w:hint="eastAsia" w:ascii="仿宋" w:hAnsi="仿宋" w:eastAsia="仿宋"/>
          <w:color w:val="000000"/>
          <w:kern w:val="0"/>
          <w:sz w:val="30"/>
          <w:szCs w:val="24"/>
        </w:rPr>
        <w:t>年部门决算编制范围。</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left"/>
        <w:rPr>
          <w:sz w:val="32"/>
          <w:szCs w:val="32"/>
        </w:rPr>
      </w:pPr>
    </w:p>
    <w:tbl>
      <w:tblPr>
        <w:tblStyle w:val="5"/>
        <w:tblW w:w="14160" w:type="dxa"/>
        <w:tblInd w:w="93" w:type="dxa"/>
        <w:tblLayout w:type="autofit"/>
        <w:tblCellMar>
          <w:top w:w="0" w:type="dxa"/>
          <w:left w:w="108" w:type="dxa"/>
          <w:bottom w:w="0" w:type="dxa"/>
          <w:right w:w="108" w:type="dxa"/>
        </w:tblCellMar>
      </w:tblPr>
      <w:tblGrid>
        <w:gridCol w:w="4149"/>
        <w:gridCol w:w="451"/>
        <w:gridCol w:w="635"/>
        <w:gridCol w:w="602"/>
        <w:gridCol w:w="98"/>
        <w:gridCol w:w="233"/>
        <w:gridCol w:w="3488"/>
        <w:gridCol w:w="849"/>
        <w:gridCol w:w="1468"/>
        <w:gridCol w:w="660"/>
        <w:gridCol w:w="1527"/>
      </w:tblGrid>
      <w:tr>
        <w:tblPrEx>
          <w:tblCellMar>
            <w:top w:w="0" w:type="dxa"/>
            <w:left w:w="108" w:type="dxa"/>
            <w:bottom w:w="0" w:type="dxa"/>
            <w:right w:w="108" w:type="dxa"/>
          </w:tblCellMar>
        </w:tblPrEx>
        <w:trPr>
          <w:trHeight w:val="348" w:hRule="atLeast"/>
        </w:trPr>
        <w:tc>
          <w:tcPr>
            <w:tcW w:w="14160"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317" w:hRule="atLeast"/>
        </w:trPr>
        <w:tc>
          <w:tcPr>
            <w:tcW w:w="523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0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公开01表</w:t>
            </w:r>
            <w:r>
              <w:rPr>
                <w:rFonts w:hint="eastAsia" w:ascii="宋体" w:hAnsi="宋体" w:eastAsia="宋体" w:cs="宋体"/>
                <w:kern w:val="0"/>
                <w:sz w:val="24"/>
                <w:szCs w:val="24"/>
              </w:rPr>
              <w:t>　</w:t>
            </w:r>
          </w:p>
        </w:tc>
        <w:tc>
          <w:tcPr>
            <w:tcW w:w="6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6" w:hRule="atLeast"/>
        </w:trPr>
        <w:tc>
          <w:tcPr>
            <w:tcW w:w="5837"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323"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45"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5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202.85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6.4</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、社会保障和就业支出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205.75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八、住房保障支出</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3.5</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209.25</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rPr>
              <w:t>209.25</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81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r>
      <w:tr>
        <w:tblPrEx>
          <w:tblCellMar>
            <w:top w:w="0" w:type="dxa"/>
            <w:left w:w="108" w:type="dxa"/>
            <w:bottom w:w="0" w:type="dxa"/>
            <w:right w:w="108" w:type="dxa"/>
          </w:tblCellMar>
        </w:tblPrEx>
        <w:trPr>
          <w:trHeight w:val="356" w:hRule="atLeast"/>
        </w:trPr>
        <w:tc>
          <w:tcPr>
            <w:tcW w:w="414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209.25　</w:t>
            </w:r>
          </w:p>
        </w:tc>
        <w:tc>
          <w:tcPr>
            <w:tcW w:w="381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55"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rPr>
              <w:t>209.25</w:t>
            </w:r>
          </w:p>
        </w:tc>
      </w:tr>
      <w:tr>
        <w:tblPrEx>
          <w:tblCellMar>
            <w:top w:w="0" w:type="dxa"/>
            <w:left w:w="108" w:type="dxa"/>
            <w:bottom w:w="0" w:type="dxa"/>
            <w:right w:w="108" w:type="dxa"/>
          </w:tblCellMar>
        </w:tblPrEx>
        <w:trPr>
          <w:trHeight w:val="1048" w:hRule="atLeast"/>
        </w:trPr>
        <w:tc>
          <w:tcPr>
            <w:tcW w:w="14160"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572" w:type="dxa"/>
        <w:tblInd w:w="0" w:type="dxa"/>
        <w:tblLayout w:type="autofit"/>
        <w:tblCellMar>
          <w:top w:w="0" w:type="dxa"/>
          <w:left w:w="0" w:type="dxa"/>
          <w:bottom w:w="0" w:type="dxa"/>
          <w:right w:w="0" w:type="dxa"/>
        </w:tblCellMar>
      </w:tblPr>
      <w:tblGrid>
        <w:gridCol w:w="400"/>
        <w:gridCol w:w="400"/>
        <w:gridCol w:w="1369"/>
        <w:gridCol w:w="1671"/>
        <w:gridCol w:w="1671"/>
        <w:gridCol w:w="1671"/>
        <w:gridCol w:w="1671"/>
        <w:gridCol w:w="1671"/>
        <w:gridCol w:w="1671"/>
        <w:gridCol w:w="2377"/>
      </w:tblGrid>
      <w:tr>
        <w:tblPrEx>
          <w:tblCellMar>
            <w:top w:w="0" w:type="dxa"/>
            <w:left w:w="0" w:type="dxa"/>
            <w:bottom w:w="0" w:type="dxa"/>
            <w:right w:w="0" w:type="dxa"/>
          </w:tblCellMar>
        </w:tblPrEx>
        <w:trPr>
          <w:trHeight w:val="435" w:hRule="atLeast"/>
        </w:trPr>
        <w:tc>
          <w:tcPr>
            <w:tcW w:w="14572"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44"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81"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79" w:hRule="atLeast"/>
        </w:trPr>
        <w:tc>
          <w:tcPr>
            <w:tcW w:w="21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209.25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202.85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6.40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205.75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199.35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6.40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79.72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79.72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119.63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2081001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119.63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9"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457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tbl>
      <w:tblPr>
        <w:tblStyle w:val="5"/>
        <w:tblW w:w="13183" w:type="dxa"/>
        <w:tblInd w:w="91" w:type="dxa"/>
        <w:tblLayout w:type="fixed"/>
        <w:tblCellMar>
          <w:top w:w="0" w:type="dxa"/>
          <w:left w:w="108" w:type="dxa"/>
          <w:bottom w:w="0" w:type="dxa"/>
          <w:right w:w="108" w:type="dxa"/>
        </w:tblCellMar>
      </w:tblPr>
      <w:tblGrid>
        <w:gridCol w:w="1042"/>
        <w:gridCol w:w="222"/>
        <w:gridCol w:w="2221"/>
        <w:gridCol w:w="1248"/>
        <w:gridCol w:w="1296"/>
        <w:gridCol w:w="1488"/>
        <w:gridCol w:w="1679"/>
        <w:gridCol w:w="2029"/>
        <w:gridCol w:w="195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4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209.25</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87.03</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122.22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205.75</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民政管理事务</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83.53</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122.22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7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2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2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4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2" w:type="dxa"/>
        <w:tblInd w:w="91" w:type="dxa"/>
        <w:tblLayout w:type="autofit"/>
        <w:tblCellMar>
          <w:top w:w="0" w:type="dxa"/>
          <w:left w:w="108" w:type="dxa"/>
          <w:bottom w:w="0" w:type="dxa"/>
          <w:right w:w="108" w:type="dxa"/>
        </w:tblCellMar>
      </w:tblPr>
      <w:tblGrid>
        <w:gridCol w:w="3596"/>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2"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23"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199.35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199.35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76"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202.85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85" w:hRule="atLeast"/>
        </w:trPr>
        <w:tc>
          <w:tcPr>
            <w:tcW w:w="15522"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636"/>
        <w:gridCol w:w="1965"/>
        <w:gridCol w:w="1759"/>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部门：沅江市民政局(本级)</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202.85</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83.23</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199.35</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119.63</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119.63</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2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widowControl/>
        <w:jc w:val="both"/>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951"/>
        <w:gridCol w:w="944"/>
        <w:gridCol w:w="2316"/>
        <w:gridCol w:w="766"/>
        <w:gridCol w:w="900"/>
        <w:gridCol w:w="4206"/>
        <w:gridCol w:w="82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59.77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19.77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5.19</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5.19</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60.01</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2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23.22</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2021年度收、支总计209.25万元。与上年相比，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125.56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150.03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社会保障和就业支出需要增多所以财政拨款增多。</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2021年度收入合计209.25万元，其中：财政拨款收入202.85万元，占</w:t>
      </w:r>
      <w:r>
        <w:rPr>
          <w:rFonts w:hint="eastAsia" w:asciiTheme="minorEastAsia" w:hAnsiTheme="minorEastAsia" w:eastAsiaTheme="minorEastAsia"/>
          <w:sz w:val="32"/>
          <w:szCs w:val="32"/>
          <w:lang w:val="en-US" w:eastAsia="zh-CN"/>
        </w:rPr>
        <w:t>96.94</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3.06</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2021年度支出合计209.25万元，其中：基本支出87.03万元，占</w:t>
      </w:r>
      <w:r>
        <w:rPr>
          <w:rFonts w:hint="eastAsia" w:asciiTheme="minorEastAsia" w:hAnsiTheme="minorEastAsia" w:eastAsiaTheme="minorEastAsia"/>
          <w:sz w:val="32"/>
          <w:szCs w:val="32"/>
          <w:lang w:val="en-US" w:eastAsia="zh-CN"/>
        </w:rPr>
        <w:t>41.59</w:t>
      </w:r>
      <w:r>
        <w:rPr>
          <w:rFonts w:hint="eastAsia" w:asciiTheme="minorEastAsia" w:hAnsiTheme="minorEastAsia" w:eastAsiaTheme="minorEastAsia"/>
          <w:sz w:val="32"/>
          <w:szCs w:val="32"/>
        </w:rPr>
        <w:t>%；项目支出122.22万元，占</w:t>
      </w:r>
      <w:r>
        <w:rPr>
          <w:rFonts w:hint="eastAsia" w:asciiTheme="minorEastAsia" w:hAnsiTheme="minorEastAsia" w:eastAsiaTheme="minorEastAsia"/>
          <w:sz w:val="32"/>
          <w:szCs w:val="32"/>
          <w:lang w:val="en-US" w:eastAsia="zh-CN"/>
        </w:rPr>
        <w:t>58.41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202.85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126.36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165.20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社会保障和就业支出需要增多所以财政拨款增多。</w:t>
      </w:r>
      <w:r>
        <w:rPr>
          <w:rFonts w:hint="eastAsia" w:asciiTheme="minorEastAsia" w:hAnsiTheme="minorEastAsia" w:eastAsiaTheme="minorEastAsia"/>
          <w:sz w:val="32"/>
          <w:szCs w:val="32"/>
          <w:lang w:val="en-US" w:eastAsia="zh-CN"/>
        </w:rPr>
        <w:t xml:space="preserve">                            </w:t>
      </w:r>
    </w:p>
    <w:p>
      <w:pPr>
        <w:pStyle w:val="9"/>
        <w:ind w:firstLine="64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202.85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96.94</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126.36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165.20</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社会保障和就业支出需要增多所以财政拨款增多。</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209.41</w:t>
      </w:r>
      <w:r>
        <w:rPr>
          <w:rFonts w:hint="eastAsia" w:asciiTheme="minorEastAsia" w:hAnsiTheme="minorEastAsia" w:eastAsiaTheme="minorEastAsia"/>
          <w:sz w:val="32"/>
          <w:szCs w:val="32"/>
        </w:rPr>
        <w:t>万元，主要用于以下方面：社会保障和就业（类）支出199.35万元，占</w:t>
      </w:r>
      <w:r>
        <w:rPr>
          <w:rFonts w:hint="eastAsia" w:asciiTheme="minorEastAsia" w:hAnsiTheme="minorEastAsia" w:eastAsiaTheme="minorEastAsia"/>
          <w:sz w:val="32"/>
          <w:szCs w:val="32"/>
          <w:lang w:val="en-US" w:eastAsia="zh-CN"/>
        </w:rPr>
        <w:t>95.20</w:t>
      </w:r>
      <w:r>
        <w:rPr>
          <w:rFonts w:hint="eastAsia" w:asciiTheme="minorEastAsia" w:hAnsiTheme="minorEastAsia" w:eastAsiaTheme="minorEastAsia"/>
          <w:sz w:val="32"/>
          <w:szCs w:val="32"/>
        </w:rPr>
        <w:t>%；住房保障支出（类）支出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78.646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202.85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257.93</w:t>
      </w:r>
      <w:r>
        <w:rPr>
          <w:rFonts w:hint="eastAsia" w:asciiTheme="minorEastAsia" w:hAnsiTheme="minorEastAsia" w:eastAsiaTheme="minorEastAsia"/>
          <w:sz w:val="32"/>
          <w:szCs w:val="32"/>
        </w:rPr>
        <w:t>%，其中：</w:t>
      </w:r>
    </w:p>
    <w:p>
      <w:pPr>
        <w:pStyle w:val="9"/>
        <w:numPr>
          <w:ilvl w:val="0"/>
          <w:numId w:val="3"/>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社会保障和就业（类）</w:t>
      </w:r>
    </w:p>
    <w:p>
      <w:pPr>
        <w:pStyle w:val="9"/>
        <w:numPr>
          <w:ilvl w:val="0"/>
          <w:numId w:val="4"/>
        </w:numPr>
        <w:ind w:left="630" w:leftChars="0" w:firstLine="0" w:firstLineChars="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民政管理事务（款）行政运行（项）</w:t>
      </w:r>
    </w:p>
    <w:p>
      <w:pPr>
        <w:pStyle w:val="9"/>
        <w:numPr>
          <w:ilvl w:val="0"/>
          <w:numId w:val="4"/>
        </w:numPr>
        <w:ind w:left="630" w:leftChars="0" w:firstLine="0" w:firstLineChars="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社会福利（款） 儿童福利（项）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72.416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199.35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275.28</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财政拨款减少</w:t>
      </w:r>
      <w:r>
        <w:rPr>
          <w:rFonts w:hint="eastAsia" w:asciiTheme="minorEastAsia" w:hAnsiTheme="minorEastAsia" w:eastAsiaTheme="minorEastAsia"/>
          <w:sz w:val="32"/>
          <w:szCs w:val="32"/>
          <w:lang w:val="en-US" w:eastAsia="zh-CN"/>
        </w:rPr>
        <w:t xml:space="preserve">                           </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住房保障支出（类）住房改革支出（款）住房公积金（项）。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年初预算为6.05万元，支出决算为3.5万元，完成年初预算的</w:t>
      </w:r>
      <w:r>
        <w:rPr>
          <w:rFonts w:hint="eastAsia" w:asciiTheme="minorEastAsia" w:hAnsiTheme="minorEastAsia" w:eastAsiaTheme="minorEastAsia"/>
          <w:sz w:val="32"/>
          <w:szCs w:val="32"/>
          <w:lang w:val="en-US" w:eastAsia="zh-CN"/>
        </w:rPr>
        <w:t>57.85</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财政拨款减少</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83.23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60.01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72.1</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23.22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27.9</w:t>
      </w:r>
      <w:r>
        <w:rPr>
          <w:rFonts w:hint="eastAsia" w:asciiTheme="minorEastAsia" w:hAnsiTheme="minorEastAsia" w:eastAsiaTheme="minorEastAsia"/>
          <w:sz w:val="32"/>
          <w:szCs w:val="32"/>
        </w:rPr>
        <w:t>%，主要包括办公费、印刷费、咨询费、手续费。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0.37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69.81</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eastAsiaTheme="minorEastAsia"/>
          <w:sz w:val="32"/>
          <w:szCs w:val="32"/>
          <w:lang w:eastAsia="zh-CN"/>
        </w:rPr>
        <w:t>无</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0.16</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无</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23.22</w:t>
      </w:r>
      <w:r>
        <w:rPr>
          <w:rFonts w:hint="eastAsia" w:asciiTheme="minorEastAsia" w:hAnsiTheme="minorEastAsia" w:eastAsiaTheme="minorEastAsia"/>
          <w:sz w:val="32"/>
          <w:szCs w:val="32"/>
        </w:rPr>
        <w:t>万元，上年决算数增加</w:t>
      </w:r>
      <w:r>
        <w:rPr>
          <w:rFonts w:hint="eastAsia" w:asciiTheme="minorEastAsia" w:hAnsiTheme="minorEastAsia" w:eastAsiaTheme="minorEastAsia"/>
          <w:sz w:val="32"/>
          <w:szCs w:val="32"/>
          <w:lang w:val="en-US" w:eastAsia="zh-CN"/>
        </w:rPr>
        <w:t>19.68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15.25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专用材料费用的增加</w:t>
      </w:r>
      <w:r>
        <w:rPr>
          <w:rFonts w:hint="eastAsia" w:asciiTheme="minorEastAsia" w:hAnsiTheme="minorEastAsia" w:eastAsiaTheme="minorEastAsia"/>
          <w:sz w:val="32"/>
          <w:szCs w:val="32"/>
        </w:rPr>
        <w:t>。</w:t>
      </w:r>
    </w:p>
    <w:p>
      <w:pPr>
        <w:pStyle w:val="9"/>
        <w:rPr>
          <w:rFonts w:hint="eastAsia" w:hAnsi="黑体" w:eastAsia="黑体"/>
          <w:b/>
          <w:sz w:val="32"/>
          <w:szCs w:val="32"/>
          <w:lang w:val="en-US" w:eastAsia="zh-CN"/>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救助站成本费用</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单位开展整体支出绩效评价，涉及一般公共预算支出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（请对整体支出绩效评价情况进行简单说明）。</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ascii="仿宋" w:hAnsi="仿宋" w:eastAsia="仿宋"/>
          <w:sz w:val="30"/>
          <w:szCs w:val="30"/>
          <w:lang w:val="en-US" w:eastAsia="zh-CN"/>
        </w:rPr>
        <w:t>119.63</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119.63</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w:t>
      </w:r>
      <w:r>
        <w:rPr>
          <w:rFonts w:hint="eastAsia" w:asciiTheme="minorEastAsia" w:hAnsiTheme="minorEastAsia" w:eastAsiaTheme="minorEastAsia" w:cstheme="minorEastAsia"/>
          <w:color w:val="3E3E3E"/>
          <w:sz w:val="32"/>
          <w:szCs w:val="32"/>
        </w:rPr>
        <w:t>负责城市流浪乞讨人员的救助管理工作;对符合条件的人员及时提供救助;本着自愿求助，无偿救助的原则对救助人员进行救助;向求助的流浪乞讨人员告知救助对象的范围和实施救助的内容，向求助的流浪乞讨人员提供符合食品卫生要求的食物;帮助受助人员与其亲属或者流出地民政部门联系，文明接待，热情服务</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发现的主要问题及原因：一是</w:t>
      </w:r>
      <w:r>
        <w:rPr>
          <w:rFonts w:hint="eastAsia" w:ascii="宋体" w:hAnsi="宋体"/>
          <w:sz w:val="32"/>
          <w:szCs w:val="32"/>
        </w:rPr>
        <w:t>预算标准与部门支出有差距，在执行过程中，有关实际支出超过预算标准</w:t>
      </w:r>
      <w:r>
        <w:rPr>
          <w:rFonts w:hint="eastAsia" w:cs="黑体" w:asciiTheme="minorEastAsia" w:hAnsiTheme="minorEastAsia"/>
          <w:color w:val="000000"/>
          <w:kern w:val="0"/>
          <w:sz w:val="32"/>
          <w:szCs w:val="32"/>
        </w:rPr>
        <w:t>；二是</w:t>
      </w:r>
      <w:r>
        <w:rPr>
          <w:rFonts w:hint="eastAsia" w:ascii="宋体" w:hAnsi="宋体"/>
          <w:sz w:val="32"/>
          <w:szCs w:val="32"/>
        </w:rPr>
        <w:t>财政收支矛盾仍然突出，地方财政风险加大</w:t>
      </w:r>
      <w:r>
        <w:rPr>
          <w:rFonts w:hint="eastAsia" w:cs="黑体" w:asciiTheme="minorEastAsia" w:hAnsiTheme="minorEastAsia"/>
          <w:color w:val="000000"/>
          <w:kern w:val="0"/>
          <w:sz w:val="32"/>
          <w:szCs w:val="32"/>
        </w:rPr>
        <w:t>。下一步改进措施：一是</w:t>
      </w:r>
      <w:r>
        <w:rPr>
          <w:rFonts w:hint="eastAsia" w:ascii="宋体" w:hAnsi="宋体"/>
          <w:sz w:val="32"/>
          <w:szCs w:val="32"/>
        </w:rPr>
        <w:t>加强管理，严控支出</w:t>
      </w:r>
      <w:r>
        <w:rPr>
          <w:rFonts w:hint="eastAsia" w:cs="黑体" w:asciiTheme="minorEastAsia" w:hAnsiTheme="minorEastAsia"/>
          <w:color w:val="000000"/>
          <w:kern w:val="0"/>
          <w:sz w:val="32"/>
          <w:szCs w:val="32"/>
        </w:rPr>
        <w:t>；二是</w:t>
      </w:r>
      <w:r>
        <w:rPr>
          <w:rFonts w:hint="eastAsia" w:ascii="宋体" w:hAnsi="宋体"/>
          <w:sz w:val="32"/>
          <w:szCs w:val="32"/>
        </w:rPr>
        <w:t>科学理财，强化职能作用</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1、</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w:t>
      </w:r>
      <w:r>
        <w:rPr>
          <w:rFonts w:hint="eastAsia" w:cs="黑体" w:asciiTheme="minorEastAsia" w:hAnsiTheme="minorEastAsia"/>
          <w:b/>
          <w:color w:val="000000"/>
          <w:kern w:val="0"/>
          <w:sz w:val="32"/>
          <w:szCs w:val="32"/>
          <w:lang w:val="en-US" w:eastAsia="zh-CN"/>
        </w:rPr>
        <w:t>21</w:t>
      </w:r>
      <w:r>
        <w:rPr>
          <w:rFonts w:hint="eastAsia" w:cs="黑体" w:asciiTheme="minorEastAsia" w:hAnsiTheme="minorEastAsia"/>
          <w:b/>
          <w:color w:val="000000"/>
          <w:kern w:val="0"/>
          <w:sz w:val="32"/>
          <w:szCs w:val="32"/>
        </w:rPr>
        <w:t>年沅江市</w:t>
      </w:r>
      <w:r>
        <w:rPr>
          <w:rFonts w:hint="eastAsia" w:cs="黑体" w:asciiTheme="minorEastAsia" w:hAnsiTheme="minorEastAsia"/>
          <w:b/>
          <w:color w:val="000000"/>
          <w:kern w:val="0"/>
          <w:sz w:val="32"/>
          <w:szCs w:val="32"/>
          <w:lang w:eastAsia="zh-CN"/>
        </w:rPr>
        <w:t>流浪乞讨人员</w:t>
      </w:r>
      <w:r>
        <w:rPr>
          <w:rFonts w:hint="eastAsia" w:cs="黑体" w:asciiTheme="minorEastAsia" w:hAnsiTheme="minorEastAsia"/>
          <w:b/>
          <w:color w:val="000000"/>
          <w:kern w:val="0"/>
          <w:sz w:val="32"/>
          <w:szCs w:val="32"/>
        </w:rPr>
        <w:t>决算公开表格</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BEF8"/>
    <w:multiLevelType w:val="multilevel"/>
    <w:tmpl w:val="824DBEF8"/>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86B6CEE4"/>
    <w:multiLevelType w:val="singleLevel"/>
    <w:tmpl w:val="86B6CEE4"/>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484970"/>
    <w:multiLevelType w:val="singleLevel"/>
    <w:tmpl w:val="59484970"/>
    <w:lvl w:ilvl="0" w:tentative="0">
      <w:start w:val="1"/>
      <w:numFmt w:val="decimal"/>
      <w:suff w:val="nothing"/>
      <w:lvlText w:val="（%1）"/>
      <w:lvlJc w:val="left"/>
      <w:pPr>
        <w:ind w:left="630" w:leftChars="0" w:firstLine="0" w:firstLineChars="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ZDBmYmYwOTU0ZWEwMzFjZDczNzVmZDA4Zjc4OD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6397152"/>
    <w:rsid w:val="076F100F"/>
    <w:rsid w:val="0A0D1B27"/>
    <w:rsid w:val="0BA14E07"/>
    <w:rsid w:val="0D9803FA"/>
    <w:rsid w:val="0E3E7DE0"/>
    <w:rsid w:val="13DE4B94"/>
    <w:rsid w:val="15F95EA6"/>
    <w:rsid w:val="161A0B74"/>
    <w:rsid w:val="20A420AE"/>
    <w:rsid w:val="22721D38"/>
    <w:rsid w:val="23241284"/>
    <w:rsid w:val="23895925"/>
    <w:rsid w:val="2BF43A63"/>
    <w:rsid w:val="2EEF1D7E"/>
    <w:rsid w:val="352670A0"/>
    <w:rsid w:val="356F5ECC"/>
    <w:rsid w:val="3B971B08"/>
    <w:rsid w:val="3DF26603"/>
    <w:rsid w:val="3F066BF6"/>
    <w:rsid w:val="3FD9785C"/>
    <w:rsid w:val="4879092B"/>
    <w:rsid w:val="48DD3AFF"/>
    <w:rsid w:val="4A9338E4"/>
    <w:rsid w:val="4D7523CE"/>
    <w:rsid w:val="4E3D5295"/>
    <w:rsid w:val="50C00B13"/>
    <w:rsid w:val="52C07A61"/>
    <w:rsid w:val="55814DA6"/>
    <w:rsid w:val="564D06FA"/>
    <w:rsid w:val="56BF111A"/>
    <w:rsid w:val="62402CDD"/>
    <w:rsid w:val="63260AD7"/>
    <w:rsid w:val="66344C92"/>
    <w:rsid w:val="6EB365E5"/>
    <w:rsid w:val="6FF549A2"/>
    <w:rsid w:val="73351D9E"/>
    <w:rsid w:val="765760EF"/>
    <w:rsid w:val="777F7CC7"/>
    <w:rsid w:val="77877BF2"/>
    <w:rsid w:val="7A307F30"/>
    <w:rsid w:val="7E60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6340</Words>
  <Characters>7651</Characters>
  <Lines>69</Lines>
  <Paragraphs>19</Paragraphs>
  <TotalTime>0</TotalTime>
  <ScaleCrop>false</ScaleCrop>
  <LinksUpToDate>false</LinksUpToDate>
  <CharactersWithSpaces>8637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2023-10-08T00:36:56Z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498B1A7110DC49EABDAF78268096B46A</vt:lpwstr>
  </property>
</Properties>
</file>