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eastAsia="方正大标宋简体"/>
          <w:sz w:val="48"/>
          <w:lang w:val="en-US" w:eastAsia="zh-CN"/>
        </w:rPr>
        <w:t xml:space="preserve">  </w:t>
      </w:r>
      <w:r>
        <w:rPr>
          <w:rFonts w:hint="eastAsia" w:eastAsia="方正大标宋简体"/>
          <w:sz w:val="48"/>
        </w:rPr>
        <w:t>二0</w:t>
      </w:r>
      <w:r>
        <w:rPr>
          <w:rFonts w:hint="eastAsia" w:eastAsia="方正大标宋简体"/>
          <w:sz w:val="48"/>
          <w:lang w:eastAsia="zh-CN"/>
        </w:rPr>
        <w:t>二一</w:t>
      </w:r>
      <w:r>
        <w:rPr>
          <w:rFonts w:hint="eastAsia" w:eastAsia="方正大标宋简体"/>
          <w:sz w:val="48"/>
        </w:rPr>
        <w:t>年</w:t>
      </w:r>
      <w:r>
        <w:rPr>
          <w:rFonts w:hint="eastAsia" w:ascii="方正小标宋_GBK" w:eastAsia="方正小标宋_GBK" w:cs="黑体"/>
          <w:sz w:val="44"/>
          <w:szCs w:val="44"/>
        </w:rPr>
        <w:t>沅江市财政总决算编制</w:t>
      </w:r>
    </w:p>
    <w:p>
      <w:pPr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eastAsia="方正小标宋_GBK" w:cs="黑体"/>
          <w:sz w:val="44"/>
          <w:szCs w:val="44"/>
        </w:rPr>
        <w:t>工作总结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编审工作是财政部门每年的一项重要工作。根据核算内容的不同，财政决算编审分为财政总财政决算编审和部门财政决算编审两部分。财政总决算反映的是各级政府财政收支状况；部门决算反映的是各部门收支状况。财政总决算和部门决算，既是对年度预算执行情况的全面总结和综合反映，又是编制下年度预算的信息基础，也是研究调整有关政策和搞好财政管理的重要依据。财政决算编审工作直接影响到财政预算编制和执行的情况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从中央到地方，各级财政部门都非常重视财政决算编审工作，并不断在工作中总结经验，寻求改进。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财政决算编审工作，在市财政局的领导下，按照“全面、真实、准确、及时”的总要求，经过我局的积极组织，严格部署以及行政事业单位、各乡镇财政所财会人员的共同努力，</w:t>
      </w:r>
      <w:r>
        <w:rPr>
          <w:rFonts w:hint="eastAsia" w:ascii="仿宋_GB2312" w:hAnsi="Times New Roman" w:eastAsia="仿宋_GB2312" w:cs="仿宋"/>
          <w:sz w:val="32"/>
          <w:szCs w:val="30"/>
        </w:rPr>
        <w:t>沅江市</w:t>
      </w:r>
      <w:r>
        <w:rPr>
          <w:rFonts w:ascii="仿宋_GB2312" w:hAnsi="Times New Roman" w:eastAsia="仿宋_GB2312" w:cs="仿宋"/>
          <w:sz w:val="32"/>
          <w:szCs w:val="30"/>
        </w:rPr>
        <w:t>财政决算编审工作完成情况较好。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一、领导重视是作好我区财政决算编审工作的关键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财政决算是我区预算执行情况的全面总结，也是我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社会经济运行状况的综合反映，涉及方方面面，需要各级领导认真重视。我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历年来都把财政决算编审工作当作一件大事来抓。市决算工作会后，局领导对财政决算编审工作格外重视，明确指示：一方面，要充分认识做好财政决算编审工作的重要性，克服各种困难，按市财政局“五统一”的要求，完成财政决算编审工作；另一方面，局各有关科室要积极配合做好财政决算编审工作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根据市财政局与我局领导的要求，做到认真布置，加强培训，在全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范围内召开决算动员及培训大会，对决算所增加的内容进行了重点学习，对如何编制好决算、提高决算编制质量及决算中的时间安排等具体事宜作了相应的安排。</w:t>
      </w: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专门成立决算协调工作小组，建立工作制度，制定编审方案，明确职责分工，确定阶段工作目标，</w:t>
      </w:r>
      <w:r>
        <w:rPr>
          <w:rFonts w:ascii="仿宋_GB2312" w:hAnsi="Times New Roman" w:eastAsia="仿宋_GB2312" w:cs="仿宋"/>
          <w:sz w:val="32"/>
          <w:szCs w:val="30"/>
        </w:rPr>
        <w:t>从而统一了思想，提高了认识，明确了任务，为财政决算编审工作做好了充分准备。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二、扎实地做好财政</w:t>
      </w:r>
      <w:r>
        <w:rPr>
          <w:rFonts w:hint="eastAsia" w:ascii="仿宋_GB2312" w:hAnsi="Times New Roman" w:eastAsia="仿宋_GB2312" w:cs="仿宋"/>
          <w:b/>
          <w:bCs/>
          <w:sz w:val="32"/>
          <w:szCs w:val="30"/>
        </w:rPr>
        <w:t>总</w:t>
      </w:r>
      <w:r>
        <w:rPr>
          <w:rFonts w:ascii="仿宋_GB2312" w:hAnsi="Times New Roman" w:eastAsia="仿宋_GB2312" w:cs="仿宋"/>
          <w:b/>
          <w:bCs/>
          <w:sz w:val="32"/>
          <w:szCs w:val="30"/>
        </w:rPr>
        <w:t>决算编审基础工作，以严谨认真的科学态度贯穿决算工作始末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1、做好决算前的收支对账工作。首先，与各行政事业单位核对财政拨款数，确保总会计账、证、表之间核对衔接一致，以保证决算基础数字真实、准确，这是编制高质量决算的坚实基础；其次，财政与银行、税务部门核对收入，如果发现问题，应及时纠正，确保财政报表、税务报表及国库报表的一致性。最后，与预算科核对预算指标，还要按照有关文件精神，正确计算我</w:t>
      </w:r>
      <w:r>
        <w:rPr>
          <w:rFonts w:hint="eastAsia" w:ascii="仿宋_GB2312" w:hAnsi="Times New Roman" w:eastAsia="仿宋_GB2312" w:cs="仿宋"/>
          <w:sz w:val="32"/>
          <w:szCs w:val="30"/>
        </w:rPr>
        <w:t>市</w:t>
      </w:r>
      <w:r>
        <w:rPr>
          <w:rFonts w:ascii="仿宋_GB2312" w:hAnsi="Times New Roman" w:eastAsia="仿宋_GB2312" w:cs="仿宋"/>
          <w:sz w:val="32"/>
          <w:szCs w:val="30"/>
        </w:rPr>
        <w:t>各项上解、返还及转移支付额。并在结算之前与市财政局国库处、预算处核对有关数据，确保体制数字的真实、准确，避免遗漏和错误。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2、逐步完善财政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决算编审系统，有利于财政决算编审质量的提高。财政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决算编审工作不仅量大、琐碎、复杂，而且涉及范围广。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决算报表系统的逐步完善对编审工作高效优质的完成十分有效。按照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决算改进的四项基本原则：一是逐步满足向人大报送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决算的要求；二是与部门预算相衔接并协调一致；三是与财政总决算既合理分工又互相衔接；四是重在实用，满足管理需要。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3、做好决算的技术准备工作，及时对有关业务人员进行培训。通过培训，提高业务人员的计算机水平，使其掌握编审软件的使用方法，保证软件的稳定运行和数据的正确提取，提高工作效率，为下一步数据汇总减少差错率打下良好基础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4、严把审核环节，提高决算编制质量。认真审查报表，严把质量关，与总会计的拨款数、上年度决算结余数进行核对，保证数字间逻辑关系的正确性。对各项数据反复核对，发现问题及时纠正，确保数字的真实准确。</w:t>
      </w:r>
      <w:r>
        <w:rPr>
          <w:rFonts w:hint="eastAsia" w:ascii="仿宋_GB2312" w:hAnsi="Times New Roman" w:eastAsia="仿宋_GB2312" w:cs="仿宋"/>
          <w:sz w:val="32"/>
          <w:szCs w:val="30"/>
        </w:rPr>
        <w:t xml:space="preserve"> 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5、注重提升决算分析质量。结合编报分析与国家宏观经济政策，分析宏观经济走势与财政决算数据的关系；编报分析与税源变化相结合，用税源变化揭示财政经济发展的轨迹；编报分析与财政各项改革相结合，分析财政改革对财政决算数据的影响；编报分析与财政政策相结合，分析财政支出变化与财政政策变化的关系等。</w:t>
      </w:r>
    </w:p>
    <w:p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>6、建立决算公开长效机制。机构改革、财政体制、会计制度等改革不断向前推进，决算工作也必须适应新形势新要求，不断改进完善。不断推进公开细化程度，将基本支出经济分类科目明细细化，进一步细化转移支付的项目等内容。坚持“他检”和“自检”并重，“自检”先于“他检”。“他检”主要是指财政部专员办及同级审开展的预决算公开专项检查。“自检”主要是国库及相关业务股室联合开展的决算公开检查，通过设计检查统一表格，条例化的检查内容及标准，着重检查决算公开的规范性、完整性、细化程度等方面，发现问题，集中通报，限期整改，真正让决算公开无死角、无漏洞，经得起检查与监督。针对公开后公众可能关注的重点、热点，以及关注点广度和深度不同情况，提前编写解读材料。设置决算公开热线电话，当民众、新闻媒体对决算公开情况有关切、有疑虑时，能够及时有效做好解释说明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财政决算工作是一项业务性较强的工作，它要求每一个财政决算编审人员都要有过硬的专业知识，较强业务能力和高度的责任心，否则就不可能编制出高质量的决算。财政决算编审人员根据报表内容进行了分工，分别填制收支各种表格、预算调整表及乡镇财政的有关报表。最后审核所有表格的各项数字、表间逻辑关系及填报口径等事宜。各种表格填完后，再输入计算机进行重新审核，确保财政决算编审工作质量。</w:t>
      </w:r>
    </w:p>
    <w:p>
      <w:pPr>
        <w:spacing w:line="580" w:lineRule="exact"/>
        <w:ind w:firstLine="643" w:firstLineChars="200"/>
        <w:rPr>
          <w:rFonts w:ascii="仿宋_GB2312" w:hAnsi="Times New Roman" w:eastAsia="仿宋_GB2312" w:cs="仿宋"/>
          <w:b/>
          <w:bCs/>
          <w:sz w:val="32"/>
          <w:szCs w:val="30"/>
        </w:rPr>
      </w:pPr>
      <w:r>
        <w:rPr>
          <w:rFonts w:ascii="仿宋_GB2312" w:hAnsi="Times New Roman" w:eastAsia="仿宋_GB2312" w:cs="仿宋"/>
          <w:b/>
          <w:bCs/>
          <w:sz w:val="32"/>
          <w:szCs w:val="30"/>
        </w:rPr>
        <w:t>三、建议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ascii="仿宋_GB2312" w:hAnsi="Times New Roman" w:eastAsia="仿宋_GB2312" w:cs="仿宋"/>
          <w:sz w:val="32"/>
          <w:szCs w:val="30"/>
        </w:rPr>
        <w:t>一是财政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决算编审的有效性和实用性有待于进一步提高。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二是财政预算部门的对账工作需要提前进行，不能与决算工作同步进行，导致决算数据的不稳定性，而大批量的修改数据会影响决算的工作进度。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三</w:t>
      </w:r>
      <w:r>
        <w:rPr>
          <w:rFonts w:ascii="仿宋_GB2312" w:hAnsi="Times New Roman" w:eastAsia="仿宋_GB2312" w:cs="仿宋"/>
          <w:sz w:val="32"/>
          <w:szCs w:val="30"/>
        </w:rPr>
        <w:t>是财政</w:t>
      </w:r>
      <w:r>
        <w:rPr>
          <w:rFonts w:hint="eastAsia" w:ascii="仿宋_GB2312" w:hAnsi="Times New Roman" w:eastAsia="仿宋_GB2312" w:cs="仿宋"/>
          <w:sz w:val="32"/>
          <w:szCs w:val="30"/>
        </w:rPr>
        <w:t>总</w:t>
      </w:r>
      <w:r>
        <w:rPr>
          <w:rFonts w:ascii="仿宋_GB2312" w:hAnsi="Times New Roman" w:eastAsia="仿宋_GB2312" w:cs="仿宋"/>
          <w:sz w:val="32"/>
          <w:szCs w:val="30"/>
        </w:rPr>
        <w:t>决算编审工作的核心是提高决算数据的质量，这也是进一步提高决算分析水平的基础性工作。如何充分利用决算数据这一宝贵资源，对政府财政经济活动、国家财政经济中的热点和难点问题进行综合分析，是当前工作中的一个比较薄弱的环节，也是制约决算分析水平进一步提高的难点所在。决算分析不能单纯局限于数字的统计和汇总，还要将其与相关政策、经济形势相结合，深入分析财政经济活动的各种行为。</w:t>
      </w: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eastAsia="zh-CN"/>
        </w:rPr>
        <w:t>四是财政总决算进一步拓宽公开渠道，搭建大数据平台。充分利用政府门户网站、财政门户网站、报纸等传统媒体资源，宽渠道多载体地公开决算信息。探索尝试微信公众号、新闻客户端等自媒体平台，满足移动互联网形式下信息获取新要求。探索决算编审、预算指标等财政子系统的大数据管理平台，实行财政财务大数据的整合互通，不仅为决算公开提供坚实的多维数据基础，也丰富其他财政财务管理的数据来源。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>
      <w:pPr>
        <w:spacing w:line="580" w:lineRule="exact"/>
        <w:ind w:firstLine="640" w:firstLineChars="200"/>
        <w:rPr>
          <w:rFonts w:ascii="仿宋_GB2312" w:hAnsi="Times New Roman" w:eastAsia="仿宋_GB2312" w:cs="仿宋"/>
          <w:sz w:val="32"/>
          <w:szCs w:val="30"/>
        </w:rPr>
      </w:pPr>
    </w:p>
    <w:p>
      <w:pPr>
        <w:spacing w:line="580" w:lineRule="exact"/>
        <w:ind w:firstLine="640" w:firstLineChars="200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         </w:t>
      </w:r>
    </w:p>
    <w:p>
      <w:pPr>
        <w:spacing w:line="580" w:lineRule="exact"/>
        <w:ind w:firstLine="640" w:firstLineChars="200"/>
        <w:jc w:val="center"/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沅江市财政局</w:t>
      </w:r>
    </w:p>
    <w:p>
      <w:pPr>
        <w:spacing w:line="580" w:lineRule="exact"/>
        <w:ind w:firstLine="640" w:firstLineChars="200"/>
        <w:jc w:val="center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仿宋"/>
          <w:sz w:val="32"/>
          <w:szCs w:val="30"/>
          <w:lang w:val="en-US" w:eastAsia="zh-CN"/>
        </w:rPr>
        <w:t xml:space="preserve">                                                                    2022年4月30日</w:t>
      </w:r>
    </w:p>
    <w:p>
      <w:pPr>
        <w:spacing w:line="580" w:lineRule="exact"/>
        <w:ind w:firstLine="640" w:firstLineChars="200"/>
        <w:rPr>
          <w:rFonts w:hint="default" w:ascii="仿宋_GB2312" w:hAnsi="Times New Roman" w:eastAsia="仿宋_GB2312" w:cs="仿宋"/>
          <w:sz w:val="32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20636" w:h="14570" w:orient="landscape"/>
      <w:pgMar w:top="1800" w:right="1440" w:bottom="1800" w:left="144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jNTc0OWQwN2YxMzFiMjkwMWE0M2Q3MDllZGYxNjkifQ=="/>
  </w:docVars>
  <w:rsids>
    <w:rsidRoot w:val="00B875D2"/>
    <w:rsid w:val="007E544B"/>
    <w:rsid w:val="008C0269"/>
    <w:rsid w:val="0099158F"/>
    <w:rsid w:val="00AA35D5"/>
    <w:rsid w:val="00B875D2"/>
    <w:rsid w:val="00CF379D"/>
    <w:rsid w:val="00E241CE"/>
    <w:rsid w:val="09324115"/>
    <w:rsid w:val="0DBF632A"/>
    <w:rsid w:val="0DD11571"/>
    <w:rsid w:val="1E520CA7"/>
    <w:rsid w:val="29E233A5"/>
    <w:rsid w:val="505D3754"/>
    <w:rsid w:val="660C59E1"/>
    <w:rsid w:val="7CE76A1A"/>
    <w:rsid w:val="7E9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2548</Words>
  <Characters>2548</Characters>
  <Lines>12</Lines>
  <Paragraphs>3</Paragraphs>
  <TotalTime>1</TotalTime>
  <ScaleCrop>false</ScaleCrop>
  <LinksUpToDate>false</LinksUpToDate>
  <CharactersWithSpaces>2630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2017-11-15T03:21:00Z</dcterms:created>
  <dc:creator>dreamsummit</dc:creator>
  <cp:lastModifiedBy>Administrator</cp:lastModifiedBy>
  <dcterms:modified xsi:type="dcterms:W3CDTF">2022-07-07T01:01:41Z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7EAC0FF92E2C4905BDF342B0F3AC9CDB</vt:lpwstr>
  </property>
</Properties>
</file>