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2"/>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沅江市城市管理和</w:t>
      </w: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综合执法局</w:t>
      </w:r>
      <w:r>
        <w:rPr>
          <w:rFonts w:hint="eastAsia" w:ascii="方正小标宋_GBK" w:hAnsi="方正小标宋_GBK" w:eastAsia="方正小标宋_GBK" w:cs="方正小标宋_GBK"/>
          <w:sz w:val="84"/>
          <w:szCs w:val="84"/>
        </w:rPr>
        <w:t>部门决算</w:t>
      </w:r>
    </w:p>
    <w:p>
      <w:pPr>
        <w:pStyle w:val="12"/>
        <w:jc w:val="center"/>
        <w:rPr>
          <w:rFonts w:hint="eastAsia" w:ascii="方正小标宋_GBK" w:hAnsi="方正小标宋_GBK" w:eastAsia="方正小标宋_GBK" w:cs="方正小标宋_GBK"/>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both"/>
        <w:rPr>
          <w:sz w:val="56"/>
          <w:szCs w:val="56"/>
        </w:rPr>
      </w:pPr>
    </w:p>
    <w:p>
      <w:pPr>
        <w:pStyle w:val="12"/>
        <w:spacing w:line="500" w:lineRule="exact"/>
        <w:jc w:val="both"/>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沅江市城市管理和综合执法局单位</w:t>
      </w:r>
      <w:r>
        <w:rPr>
          <w:rFonts w:hint="eastAsia" w:ascii="黑体" w:hAnsi="黑体" w:eastAsia="黑体" w:cs="黑体"/>
          <w:b w:val="0"/>
          <w:bCs/>
          <w:sz w:val="28"/>
          <w:szCs w:val="28"/>
        </w:rPr>
        <w:t>概况</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沅江市城市管理和</w:t>
      </w: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综合执法局</w:t>
      </w:r>
      <w:r>
        <w:rPr>
          <w:rFonts w:hint="eastAsia" w:ascii="方正小标宋_GBK" w:hAnsi="方正小标宋_GBK" w:eastAsia="方正小标宋_GBK" w:cs="方正小标宋_GBK"/>
          <w:sz w:val="84"/>
          <w:szCs w:val="84"/>
        </w:rPr>
        <w:t>单位概况</w:t>
      </w:r>
    </w:p>
    <w:p>
      <w:pPr>
        <w:jc w:val="center"/>
        <w:rPr>
          <w:rFonts w:hint="eastAsia" w:ascii="方正小标宋_GBK" w:hAnsi="方正小标宋_GBK" w:eastAsia="方正小标宋_GBK" w:cs="方正小标宋_GBK"/>
          <w:sz w:val="72"/>
          <w:szCs w:val="72"/>
        </w:rPr>
      </w:pPr>
    </w:p>
    <w:p>
      <w:pPr>
        <w:jc w:val="both"/>
        <w:rPr>
          <w:sz w:val="72"/>
          <w:szCs w:val="72"/>
        </w:rPr>
      </w:pPr>
    </w:p>
    <w:p>
      <w:pPr>
        <w:pStyle w:val="13"/>
        <w:numPr>
          <w:ilvl w:val="0"/>
          <w:numId w:val="0"/>
        </w:numPr>
        <w:ind w:leftChars="0" w:firstLine="640" w:firstLineChars="200"/>
        <w:jc w:val="left"/>
        <w:rPr>
          <w:rFonts w:hint="eastAsia" w:ascii="黑体" w:hAnsi="黑体" w:eastAsia="黑体" w:cs="黑体"/>
          <w:b w:val="0"/>
          <w:bCs w:val="0"/>
          <w:sz w:val="32"/>
          <w:szCs w:val="32"/>
          <w:lang w:eastAsia="zh-CN"/>
        </w:rPr>
      </w:pPr>
    </w:p>
    <w:p>
      <w:pPr>
        <w:pStyle w:val="13"/>
        <w:numPr>
          <w:ilvl w:val="0"/>
          <w:numId w:val="0"/>
        </w:numPr>
        <w:ind w:leftChars="0" w:firstLine="640" w:firstLineChars="200"/>
        <w:jc w:val="left"/>
        <w:rPr>
          <w:rFonts w:hint="eastAsia" w:ascii="黑体" w:hAnsi="黑体" w:eastAsia="黑体" w:cs="黑体"/>
          <w:b w:val="0"/>
          <w:bCs w:val="0"/>
          <w:sz w:val="32"/>
          <w:szCs w:val="32"/>
          <w:lang w:eastAsia="zh-CN"/>
        </w:rPr>
      </w:pPr>
    </w:p>
    <w:p>
      <w:pPr>
        <w:pStyle w:val="13"/>
        <w:numPr>
          <w:ilvl w:val="0"/>
          <w:numId w:val="0"/>
        </w:numPr>
        <w:ind w:leftChars="0" w:firstLine="640" w:firstLineChars="200"/>
        <w:jc w:val="left"/>
        <w:rPr>
          <w:rFonts w:hint="eastAsia" w:ascii="黑体" w:hAnsi="黑体" w:eastAsia="黑体" w:cs="黑体"/>
          <w:b w:val="0"/>
          <w:bCs w:val="0"/>
          <w:sz w:val="32"/>
          <w:szCs w:val="32"/>
          <w:lang w:eastAsia="zh-CN"/>
        </w:rPr>
      </w:pPr>
    </w:p>
    <w:p>
      <w:pPr>
        <w:pStyle w:val="13"/>
        <w:numPr>
          <w:ilvl w:val="0"/>
          <w:numId w:val="0"/>
        </w:numPr>
        <w:ind w:leftChars="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widowControl/>
        <w:spacing w:line="600" w:lineRule="exact"/>
        <w:ind w:firstLine="960" w:firstLineChars="3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沅江市城市管理和综合执法局的主要职责是：</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（1）贯彻执行国家、省有关城市建设管理工作和城市管理行政执法的法律、法规及规章；拟定全市城市管理和城市管理行政执法方面的规范性文件。</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研究制定并组织实施城市管理行政执法的中长期规划和年度计划,研究拟定城管监察,环境卫生,园林绿化,市政维护,城市亮化,城市污水排放处理及处理费征收,城市供水,燃气管理,建筑垃圾管理等方面的规划和年度计划,并组织实施;参与审查工程建设项目中有关环境卫生,市政设施,园林绿化,城市供排水等设施的设计方案和竣工验收。</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负责环境卫生的行政和业务管理工作;负责管理城市环境卫生的清扫保洁和城市生活垃圾得清运与处置;城市建筑垃圾得处置和管理工作;负责城市环卫设施的建设和管理工作；行使容环境卫生方面法律,法规,规章规定的行政处罚权。</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（4）负责城区园林绿化的规划、设计和管理工作;负责城区绿化,美化工作;负责园林设施的建设、维护和管理;行驶城市绿化管理方面法律、法规、规章规定的行政处罚权。</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5）负责城市市容市貌管理工作;依据有关法律、法规、对占有、挖掘、损坏、乱占、乱挖城市道路、损坏排水设施、桥涵、广场等不文明施工行为和乱倒垃圾、乱堆杂物、乱贴乱画、乱棚亭、乱设广告等方面的违规违章行为进行执法监督和查处；负责市区内设置各种机动停车场点、非机动车停车场、临时棚亭及构筑物、临时性建筑、临时性市场、户外广告等事项的管理;行驶城市市容市貌管理方面法律、法规、规章规定的行政处罚权。</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6）负责城市市政基础设施管理工作;负责城市市政基础设施,包括道路、桥涵、地下雨水污水管道的建设、维护与管理;负责编制市政公用设施维护资金计划以及到位资金的使用和管理;行驶市政公用设施管理方面法律、法规、规章规定的行政处罚权。</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（7）负责城区路灯规划、维护、管理;负责城区供水生产和计划,节约用水管理;负责城市燃气规划、安全管理和监督,依法行使其相关管理方面法律、法规、规章规定的行政处罚权。</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（8）负责对城市规划区未取得《建设工程规划许可证》或者未按照《建设工程规划许可证》的规定进行建设的行为实施处罚。</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9）负责对中心城区不按指定时间从事建筑垃圾运输活动,或未采取有效措施防治致使大气污染的行为实施监管的行政处罚,对中心城区运输煤炭、煤渣、砂石、尘土、固体废弃物等散流和在主次干道范围内焚烧垃圾、桔杆、落叶等产生有害物质、气体和粉尘烟尘污染的行为实施监管和行政处罚;对中心城区职责范围内经营性餐饮业油烟污染行为实施监管和行政处罚。</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（10）负责对城区内无照商贩、违规摆摊设点侵占城市道路行为进行处罚。</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11）负责城市管理行政执法协调工作。牵头组织并协调两街道和食品药品工商质监监督、公安、住建、房产、环保、卫计、交通运输、文体广新等与城市管理和城管行政执法有联系的部门,共同做好城市管理行政执法工作。</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（12）承办市委、市政府交办的其他事项。</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7"/>
        <w:spacing w:before="0" w:beforeAutospacing="0" w:after="0" w:afterAutospacing="0" w:line="600" w:lineRule="exact"/>
        <w:ind w:firstLine="640" w:firstLineChars="200"/>
        <w:jc w:val="both"/>
        <w:textAlignment w:val="center"/>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w:t>
      </w:r>
      <w:r>
        <w:rPr>
          <w:rFonts w:hint="eastAsia" w:ascii="仿宋" w:hAnsi="仿宋" w:eastAsia="仿宋" w:cs="宋体"/>
          <w:color w:val="000000"/>
          <w:kern w:val="0"/>
          <w:sz w:val="32"/>
          <w:szCs w:val="32"/>
        </w:rPr>
        <w:t>根据编委核定，我局内设股室7个（办公室、人事股、政策法规股、城市管理股、计划财务股、督查股、户外广告管理办）</w:t>
      </w:r>
      <w:r>
        <w:rPr>
          <w:rFonts w:hint="eastAsia" w:ascii="仿宋" w:hAnsi="仿宋" w:eastAsia="仿宋"/>
          <w:color w:val="333333"/>
          <w:sz w:val="32"/>
          <w:szCs w:val="32"/>
        </w:rPr>
        <w:t>。2022年末，</w:t>
      </w:r>
      <w:r>
        <w:rPr>
          <w:rFonts w:hint="eastAsia" w:ascii="仿宋" w:hAnsi="仿宋" w:eastAsia="仿宋"/>
          <w:sz w:val="32"/>
          <w:szCs w:val="32"/>
        </w:rPr>
        <w:t>我局纳入部门预算编制</w:t>
      </w:r>
      <w:r>
        <w:rPr>
          <w:rFonts w:hint="eastAsia" w:ascii="仿宋" w:hAnsi="仿宋" w:eastAsia="仿宋"/>
          <w:color w:val="000000"/>
          <w:sz w:val="32"/>
          <w:szCs w:val="32"/>
        </w:rPr>
        <w:t>32</w:t>
      </w:r>
      <w:r>
        <w:rPr>
          <w:rFonts w:hint="eastAsia" w:ascii="仿宋" w:hAnsi="仿宋" w:eastAsia="仿宋"/>
          <w:sz w:val="32"/>
          <w:szCs w:val="32"/>
        </w:rPr>
        <w:t>人。其中：实有在职人员20人，离退休人员12人 ，公务员12人，事业编制6人，城镇退伍2人。</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eastAsia="zh-CN"/>
        </w:rPr>
        <w:t>沅江市城市管理和综合执法局</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eastAsia="zh-CN"/>
        </w:rPr>
        <w:t>沅江市城市管理和综合执法</w:t>
      </w:r>
      <w:r>
        <w:rPr>
          <w:rFonts w:hint="eastAsia" w:ascii="Times New Roman" w:hAnsi="Times New Roman" w:eastAsia="仿宋_GB2312" w:cs="仿宋_GB2312"/>
          <w:bCs/>
          <w:kern w:val="0"/>
          <w:sz w:val="32"/>
          <w:szCs w:val="32"/>
        </w:rPr>
        <w:t>单位本级</w:t>
      </w:r>
      <w:r>
        <w:rPr>
          <w:rFonts w:hint="eastAsia" w:ascii="Times New Roman" w:hAnsi="Times New Roman" w:eastAsia="仿宋_GB2312" w:cs="仿宋_GB2312"/>
          <w:bCs/>
          <w:kern w:val="0"/>
          <w:sz w:val="32"/>
          <w:szCs w:val="32"/>
          <w:lang w:eastAsia="zh-CN"/>
        </w:rPr>
        <w:t>。</w:t>
      </w:r>
    </w:p>
    <w:p>
      <w:pPr>
        <w:jc w:val="left"/>
        <w:rPr>
          <w:rFonts w:ascii="仿宋_GB2312" w:eastAsia="仿宋_GB2312" w:hAnsiTheme="minorEastAsia"/>
          <w:sz w:val="28"/>
          <w:szCs w:val="32"/>
        </w:rPr>
      </w:pPr>
    </w:p>
    <w:p>
      <w:pPr>
        <w:jc w:val="both"/>
        <w:rPr>
          <w:sz w:val="72"/>
          <w:szCs w:val="72"/>
        </w:rPr>
      </w:pPr>
    </w:p>
    <w:p>
      <w:pPr>
        <w:jc w:val="center"/>
        <w:rPr>
          <w:sz w:val="72"/>
          <w:szCs w:val="72"/>
        </w:rPr>
      </w:pPr>
    </w:p>
    <w:p>
      <w:pPr>
        <w:jc w:val="center"/>
        <w:rPr>
          <w:sz w:val="72"/>
          <w:szCs w:val="72"/>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rPr>
          <w:sz w:val="72"/>
          <w:szCs w:val="72"/>
        </w:rPr>
        <w:sectPr>
          <w:pgSz w:w="11906" w:h="16838"/>
          <w:pgMar w:top="720" w:right="720" w:bottom="720" w:left="720" w:header="851" w:footer="992" w:gutter="0"/>
          <w:cols w:space="425" w:num="1"/>
          <w:docGrid w:type="lines" w:linePitch="312" w:charSpace="0"/>
        </w:sectPr>
      </w:pPr>
    </w:p>
    <w:tbl>
      <w:tblPr>
        <w:tblStyle w:val="8"/>
        <w:tblW w:w="15460" w:type="dxa"/>
        <w:tblInd w:w="0" w:type="dxa"/>
        <w:tblLayout w:type="fixed"/>
        <w:tblCellMar>
          <w:top w:w="0" w:type="dxa"/>
          <w:left w:w="0" w:type="dxa"/>
          <w:bottom w:w="0" w:type="dxa"/>
          <w:right w:w="0" w:type="dxa"/>
        </w:tblCellMar>
      </w:tblPr>
      <w:tblGrid>
        <w:gridCol w:w="253"/>
        <w:gridCol w:w="240"/>
        <w:gridCol w:w="161"/>
        <w:gridCol w:w="582"/>
        <w:gridCol w:w="167"/>
        <w:gridCol w:w="73"/>
        <w:gridCol w:w="650"/>
        <w:gridCol w:w="2689"/>
        <w:gridCol w:w="550"/>
        <w:gridCol w:w="355"/>
        <w:gridCol w:w="558"/>
        <w:gridCol w:w="862"/>
        <w:gridCol w:w="675"/>
        <w:gridCol w:w="625"/>
        <w:gridCol w:w="875"/>
        <w:gridCol w:w="713"/>
        <w:gridCol w:w="725"/>
        <w:gridCol w:w="358"/>
        <w:gridCol w:w="792"/>
        <w:gridCol w:w="225"/>
        <w:gridCol w:w="1225"/>
        <w:gridCol w:w="75"/>
        <w:gridCol w:w="1412"/>
        <w:gridCol w:w="225"/>
        <w:gridCol w:w="395"/>
      </w:tblGrid>
      <w:tr>
        <w:tblPrEx>
          <w:tblCellMar>
            <w:top w:w="0" w:type="dxa"/>
            <w:left w:w="0" w:type="dxa"/>
            <w:bottom w:w="0" w:type="dxa"/>
            <w:right w:w="0" w:type="dxa"/>
          </w:tblCellMar>
        </w:tblPrEx>
        <w:trPr>
          <w:gridBefore w:val="1"/>
          <w:gridAfter w:val="2"/>
          <w:wBefore w:w="253" w:type="dxa"/>
          <w:wAfter w:w="620" w:type="dxa"/>
          <w:trHeight w:val="435" w:hRule="atLeast"/>
        </w:trPr>
        <w:tc>
          <w:tcPr>
            <w:tcW w:w="14587" w:type="dxa"/>
            <w:gridSpan w:val="22"/>
            <w:tcBorders>
              <w:top w:val="nil"/>
              <w:left w:val="nil"/>
              <w:bottom w:val="nil"/>
              <w:right w:val="nil"/>
            </w:tcBorders>
            <w:shd w:val="clear" w:color="auto" w:fill="auto"/>
            <w:noWrap/>
            <w:tcMar>
              <w:top w:w="15" w:type="dxa"/>
              <w:left w:w="15" w:type="dxa"/>
              <w:bottom w:w="0" w:type="dxa"/>
              <w:right w:w="15" w:type="dxa"/>
            </w:tcMar>
            <w:vAlign w:val="center"/>
          </w:tcPr>
          <w:tbl>
            <w:tblPr>
              <w:tblStyle w:val="8"/>
              <w:tblW w:w="14819"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82"/>
              <w:gridCol w:w="616"/>
              <w:gridCol w:w="2148"/>
              <w:gridCol w:w="4483"/>
              <w:gridCol w:w="1165"/>
              <w:gridCol w:w="37"/>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58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bookmarkStart w:id="219" w:name="_GoBack"/>
                  <w:bookmarkEnd w:id="219"/>
                </w:p>
              </w:tc>
              <w:tc>
                <w:tcPr>
                  <w:tcW w:w="616"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148"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48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202"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481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8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616"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148"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48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202"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4582" w:type="dxa"/>
                  <w:tcBorders>
                    <w:top w:val="nil"/>
                    <w:left w:val="nil"/>
                    <w:bottom w:val="single" w:color="auto"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部门：沅江市城市管理和综合执法局</w:t>
                  </w:r>
                </w:p>
              </w:tc>
              <w:tc>
                <w:tcPr>
                  <w:tcW w:w="616" w:type="dxa"/>
                  <w:tcBorders>
                    <w:top w:val="nil"/>
                    <w:left w:val="nil"/>
                    <w:bottom w:val="single" w:color="auto" w:sz="4" w:space="0"/>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148" w:type="dxa"/>
                  <w:tcBorders>
                    <w:top w:val="nil"/>
                    <w:left w:val="nil"/>
                    <w:bottom w:val="single" w:color="auto" w:sz="4" w:space="0"/>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483"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202"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7346"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473" w:type="dxa"/>
                  <w:gridSpan w:val="4"/>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1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214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宋体" w:hAnsi="宋体" w:eastAsia="宋体" w:cs="宋体"/>
                      <w:i w:val="0"/>
                      <w:color w:val="000000"/>
                      <w:sz w:val="24"/>
                      <w:szCs w:val="24"/>
                      <w:u w:val="none"/>
                      <w:lang w:val="en-US" w:eastAsia="zh-CN"/>
                    </w:rPr>
                  </w:pP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1438.17</w:t>
                  </w: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32</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684.91</w:t>
                  </w: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35</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36</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441.54</w:t>
                  </w: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2,564.61</w:t>
                  </w: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28</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45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422.39</w:t>
                  </w:r>
                </w:p>
              </w:tc>
              <w:tc>
                <w:tcPr>
                  <w:tcW w:w="448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58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31</w:t>
                  </w:r>
                </w:p>
              </w:tc>
              <w:tc>
                <w:tcPr>
                  <w:tcW w:w="2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2,987.01</w:t>
                  </w:r>
                </w:p>
              </w:tc>
              <w:tc>
                <w:tcPr>
                  <w:tcW w:w="448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4819"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gridBefore w:val="1"/>
          <w:wBefore w:w="253" w:type="dxa"/>
          <w:trHeight w:val="285" w:hRule="atLeast"/>
        </w:trPr>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72"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68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90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9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93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17"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3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ind w:firstLine="1000" w:firstLineChars="500"/>
              <w:jc w:val="both"/>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Before w:val="1"/>
          <w:gridAfter w:val="2"/>
          <w:wBefore w:w="253" w:type="dxa"/>
          <w:wAfter w:w="620" w:type="dxa"/>
          <w:trHeight w:val="285" w:hRule="atLeast"/>
        </w:trPr>
        <w:tc>
          <w:tcPr>
            <w:tcW w:w="1150"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6412" w:type="dxa"/>
            <w:gridSpan w:val="8"/>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沅江市城市管理和综合执法局</w:t>
            </w:r>
            <w:r>
              <w:rPr>
                <w:rFonts w:hint="eastAsia"/>
              </w:rPr>
              <w:t>　</w:t>
            </w:r>
          </w:p>
        </w:tc>
        <w:tc>
          <w:tcPr>
            <w:tcW w:w="150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3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7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0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4562" w:type="dxa"/>
            <w:gridSpan w:val="7"/>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63"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3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75"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3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41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412"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6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3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7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Before w:val="1"/>
          <w:gridAfter w:val="2"/>
          <w:wBefore w:w="253" w:type="dxa"/>
          <w:wAfter w:w="620" w:type="dxa"/>
          <w:trHeight w:val="312" w:hRule="atLeast"/>
        </w:trPr>
        <w:tc>
          <w:tcPr>
            <w:tcW w:w="115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412"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3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7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4562" w:type="dxa"/>
            <w:gridSpan w:val="7"/>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63"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5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50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43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7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30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4562" w:type="dxa"/>
            <w:gridSpan w:val="7"/>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2,564.61</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2,123.08</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441.54</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一般公共服务支出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2010305</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专项业务及机关事务管理</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2010404</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战略规划与实施</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节能环保支出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353.82</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353.82</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污染防治</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353.82</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353.82</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2110399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其他污染防治支出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353.82</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353.82</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1,676.88</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1,507.98</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168.90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城乡社区管理事务</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918.96</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750.06</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168.90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2120101</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584.09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584.09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2120104</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城管执法</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334.87</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165.97</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168.90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21205</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城乡社区环境卫生</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293.69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293.69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2120501</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城乡社区环境卫生</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293.69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293.69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464.23</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464.23</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2120803</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464.23</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464.23</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34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46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3412" w:type="dxa"/>
            <w:gridSpan w:val="3"/>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463"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14.69</w:t>
            </w:r>
          </w:p>
        </w:tc>
        <w:tc>
          <w:tcPr>
            <w:tcW w:w="1537"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14.69</w:t>
            </w:r>
          </w:p>
        </w:tc>
        <w:tc>
          <w:tcPr>
            <w:tcW w:w="1500"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14.69</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14.69</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22401</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应急管理事务</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2240199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其他应急管理支出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493.32</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220.68</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272.64</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220.68</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220.68</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2290401</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其他政府性基金安排的支出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220.68</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220.68</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22999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272.64</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272.64</w:t>
            </w:r>
          </w:p>
        </w:tc>
      </w:tr>
      <w:tr>
        <w:tblPrEx>
          <w:tblCellMar>
            <w:top w:w="0" w:type="dxa"/>
            <w:left w:w="0" w:type="dxa"/>
            <w:bottom w:w="0" w:type="dxa"/>
            <w:right w:w="0" w:type="dxa"/>
          </w:tblCellMar>
        </w:tblPrEx>
        <w:trPr>
          <w:gridBefore w:val="1"/>
          <w:gridAfter w:val="2"/>
          <w:wBefore w:w="253" w:type="dxa"/>
          <w:wAfter w:w="620" w:type="dxa"/>
          <w:trHeight w:val="450" w:hRule="atLeast"/>
        </w:trPr>
        <w:tc>
          <w:tcPr>
            <w:tcW w:w="115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2299999</w:t>
            </w:r>
          </w:p>
        </w:tc>
        <w:tc>
          <w:tcPr>
            <w:tcW w:w="3412"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463"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272.64</w:t>
            </w:r>
          </w:p>
        </w:tc>
        <w:tc>
          <w:tcPr>
            <w:tcW w:w="15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5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38"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75"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272.64</w:t>
            </w:r>
          </w:p>
        </w:tc>
      </w:tr>
      <w:tr>
        <w:tblPrEx>
          <w:tblCellMar>
            <w:top w:w="0" w:type="dxa"/>
            <w:left w:w="0" w:type="dxa"/>
            <w:bottom w:w="0" w:type="dxa"/>
            <w:right w:w="0" w:type="dxa"/>
          </w:tblCellMar>
        </w:tblPrEx>
        <w:trPr>
          <w:gridBefore w:val="1"/>
          <w:gridAfter w:val="2"/>
          <w:wBefore w:w="253" w:type="dxa"/>
          <w:wAfter w:w="620" w:type="dxa"/>
          <w:trHeight w:val="615" w:hRule="atLeast"/>
        </w:trPr>
        <w:tc>
          <w:tcPr>
            <w:tcW w:w="14587" w:type="dxa"/>
            <w:gridSpan w:val="22"/>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r>
        <w:tblPrEx>
          <w:tblCellMar>
            <w:top w:w="0" w:type="dxa"/>
            <w:left w:w="108" w:type="dxa"/>
            <w:bottom w:w="0" w:type="dxa"/>
            <w:right w:w="108" w:type="dxa"/>
          </w:tblCellMar>
        </w:tblPrEx>
        <w:trPr>
          <w:gridAfter w:val="1"/>
          <w:wAfter w:w="395" w:type="dxa"/>
          <w:trHeight w:val="807" w:hRule="atLeast"/>
        </w:trPr>
        <w:tc>
          <w:tcPr>
            <w:tcW w:w="15065" w:type="dxa"/>
            <w:gridSpan w:val="2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ascii="Times New Roman" w:hAnsi="Times New Roman" w:eastAsia="黑体" w:cs="Times New Roman"/>
                <w:bCs/>
                <w:kern w:val="0"/>
                <w:sz w:val="32"/>
                <w:szCs w:val="32"/>
              </w:rPr>
              <w:br w:type="page"/>
            </w: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395" w:type="dxa"/>
          <w:trHeight w:val="403" w:hRule="atLeast"/>
        </w:trPr>
        <w:tc>
          <w:tcPr>
            <w:tcW w:w="1236"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8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7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1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395" w:type="dxa"/>
          <w:trHeight w:val="403" w:hRule="atLeast"/>
        </w:trPr>
        <w:tc>
          <w:tcPr>
            <w:tcW w:w="1236"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8792" w:type="dxa"/>
            <w:gridSpan w:val="1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沅江市城市管理和综合执法局</w:t>
            </w:r>
            <w:r>
              <w:rPr>
                <w:rFonts w:hint="eastAsia" w:ascii="宋体" w:hAnsi="宋体" w:eastAsia="宋体" w:cs="宋体"/>
                <w:kern w:val="0"/>
                <w:sz w:val="24"/>
                <w:szCs w:val="24"/>
              </w:rPr>
              <w:t>　</w:t>
            </w:r>
          </w:p>
        </w:tc>
        <w:tc>
          <w:tcPr>
            <w:tcW w:w="187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1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395" w:type="dxa"/>
          <w:trHeight w:val="595" w:hRule="atLeast"/>
        </w:trPr>
        <w:tc>
          <w:tcPr>
            <w:tcW w:w="5365" w:type="dxa"/>
            <w:gridSpan w:val="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77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0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8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87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45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7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395" w:type="dxa"/>
          <w:trHeight w:val="595" w:hRule="atLeast"/>
        </w:trPr>
        <w:tc>
          <w:tcPr>
            <w:tcW w:w="1476" w:type="dxa"/>
            <w:gridSpan w:val="6"/>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889"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7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95" w:type="dxa"/>
          <w:trHeight w:val="595" w:hRule="atLeast"/>
        </w:trPr>
        <w:tc>
          <w:tcPr>
            <w:tcW w:w="147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889"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95" w:type="dxa"/>
          <w:trHeight w:val="595" w:hRule="atLeast"/>
        </w:trPr>
        <w:tc>
          <w:tcPr>
            <w:tcW w:w="5365" w:type="dxa"/>
            <w:gridSpan w:val="9"/>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77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0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8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7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5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71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395" w:type="dxa"/>
          <w:trHeight w:val="595" w:hRule="atLeast"/>
        </w:trPr>
        <w:tc>
          <w:tcPr>
            <w:tcW w:w="5365" w:type="dxa"/>
            <w:gridSpan w:val="9"/>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2,905.38</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304.89</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2,600.49</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2010305</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专项业务及机关事务管理</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2010404</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战略规划与实施</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442.82</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442.82</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污染防治</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442.82</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442.82</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2110302</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水体</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89.00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89.00</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2110399</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其他污染防治支出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353.82</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353.82</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1,836.94</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287.40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1,549.54</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城乡社区管理事务</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1,079.02</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287.40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791.62</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2120101</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行政运行</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587.40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287.40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2120104</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城管执法</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491.62</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491.62</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21205</w:t>
            </w:r>
          </w:p>
        </w:tc>
        <w:tc>
          <w:tcPr>
            <w:tcW w:w="3889" w:type="dxa"/>
            <w:gridSpan w:val="3"/>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城乡社区环境卫生</w:t>
            </w:r>
          </w:p>
        </w:tc>
        <w:tc>
          <w:tcPr>
            <w:tcW w:w="177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293.69</w:t>
            </w:r>
          </w:p>
        </w:tc>
        <w:tc>
          <w:tcPr>
            <w:tcW w:w="130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293.69</w:t>
            </w:r>
          </w:p>
        </w:tc>
        <w:tc>
          <w:tcPr>
            <w:tcW w:w="187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2120501</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城乡社区环境卫生</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293.69</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293.69</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464.23</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464.23</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2120803</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城市建设支出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464.23</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464.23</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14.69</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14.69</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14.69</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14.69</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住房公积金</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14.69</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14.69</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22401</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应急管理事务</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2240199</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其他应急管理支出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473.59</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471.39</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220.68</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220.68</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2290401</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其他政府性基金安排的支出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220.68</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220.68</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252.91</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250.71</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2299999</w:t>
            </w:r>
          </w:p>
        </w:tc>
        <w:tc>
          <w:tcPr>
            <w:tcW w:w="388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7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252.91</w:t>
            </w:r>
          </w:p>
        </w:tc>
        <w:tc>
          <w:tcPr>
            <w:tcW w:w="13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250.71</w:t>
            </w:r>
          </w:p>
        </w:tc>
        <w:tc>
          <w:tcPr>
            <w:tcW w:w="18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w:t>
            </w:r>
          </w:p>
        </w:tc>
        <w:tc>
          <w:tcPr>
            <w:tcW w:w="3889" w:type="dxa"/>
            <w:gridSpan w:val="3"/>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77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111.44</w:t>
            </w:r>
          </w:p>
        </w:tc>
        <w:tc>
          <w:tcPr>
            <w:tcW w:w="130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111.44</w:t>
            </w:r>
          </w:p>
        </w:tc>
        <w:tc>
          <w:tcPr>
            <w:tcW w:w="187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23401</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基础设施建设</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111.44</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111.44</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595" w:hRule="atLeast"/>
        </w:trPr>
        <w:tc>
          <w:tcPr>
            <w:tcW w:w="1476"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2340108</w:t>
            </w:r>
          </w:p>
        </w:tc>
        <w:tc>
          <w:tcPr>
            <w:tcW w:w="388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生态环境治理</w:t>
            </w:r>
          </w:p>
        </w:tc>
        <w:tc>
          <w:tcPr>
            <w:tcW w:w="17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111.44</w:t>
            </w:r>
          </w:p>
        </w:tc>
        <w:tc>
          <w:tcPr>
            <w:tcW w:w="13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111.44</w:t>
            </w:r>
          </w:p>
        </w:tc>
        <w:tc>
          <w:tcPr>
            <w:tcW w:w="187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45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1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395" w:type="dxa"/>
          <w:trHeight w:val="828" w:hRule="atLeast"/>
        </w:trPr>
        <w:tc>
          <w:tcPr>
            <w:tcW w:w="15065" w:type="dxa"/>
            <w:gridSpan w:val="24"/>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tbl>
      <w:tblPr>
        <w:tblStyle w:val="8"/>
        <w:tblW w:w="15521" w:type="dxa"/>
        <w:tblInd w:w="93" w:type="dxa"/>
        <w:tblLayout w:type="fixed"/>
        <w:tblCellMar>
          <w:top w:w="0" w:type="dxa"/>
          <w:left w:w="108" w:type="dxa"/>
          <w:bottom w:w="0" w:type="dxa"/>
          <w:right w:w="108" w:type="dxa"/>
        </w:tblCellMar>
      </w:tblPr>
      <w:tblGrid>
        <w:gridCol w:w="3328"/>
        <w:gridCol w:w="675"/>
        <w:gridCol w:w="1325"/>
        <w:gridCol w:w="289"/>
        <w:gridCol w:w="3198"/>
        <w:gridCol w:w="344"/>
        <w:gridCol w:w="435"/>
        <w:gridCol w:w="1321"/>
        <w:gridCol w:w="1525"/>
        <w:gridCol w:w="1388"/>
        <w:gridCol w:w="1693"/>
      </w:tblGrid>
      <w:tr>
        <w:tblPrEx>
          <w:tblCellMar>
            <w:top w:w="0" w:type="dxa"/>
            <w:left w:w="108" w:type="dxa"/>
            <w:bottom w:w="0" w:type="dxa"/>
            <w:right w:w="108" w:type="dxa"/>
          </w:tblCellMar>
        </w:tblPrEx>
        <w:trPr>
          <w:trHeight w:val="285" w:hRule="atLeast"/>
        </w:trPr>
        <w:tc>
          <w:tcPr>
            <w:tcW w:w="3328"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67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1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2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2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8"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9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32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3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328"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沅江市城市管理和综合执法局</w:t>
            </w:r>
          </w:p>
        </w:tc>
        <w:tc>
          <w:tcPr>
            <w:tcW w:w="6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3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2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9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2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93"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8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7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8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7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1,438.17</w:t>
            </w: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12.30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12.30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684.91</w:t>
            </w: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0.30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0.30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442.82</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442.82</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1,509.40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1,045.18</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464.23</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32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14.69</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14.69</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9.30</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220.68</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220.68</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7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3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111.44</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111.44</w:t>
            </w:r>
          </w:p>
        </w:tc>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7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3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2,123.08</w:t>
            </w:r>
          </w:p>
        </w:tc>
        <w:tc>
          <w:tcPr>
            <w:tcW w:w="34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79"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32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2,324.94</w:t>
            </w:r>
          </w:p>
        </w:tc>
        <w:tc>
          <w:tcPr>
            <w:tcW w:w="15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1,528.59</w:t>
            </w:r>
          </w:p>
        </w:tc>
        <w:tc>
          <w:tcPr>
            <w:tcW w:w="138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796.35</w:t>
            </w:r>
          </w:p>
        </w:tc>
        <w:tc>
          <w:tcPr>
            <w:tcW w:w="169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201.86</w:t>
            </w: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90.42</w:t>
            </w:r>
          </w:p>
        </w:tc>
        <w:tc>
          <w:tcPr>
            <w:tcW w:w="3487"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b/>
                <w:bCs/>
                <w:kern w:val="0"/>
                <w:sz w:val="22"/>
              </w:rPr>
            </w:pP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3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69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111.44</w:t>
            </w:r>
          </w:p>
        </w:tc>
        <w:tc>
          <w:tcPr>
            <w:tcW w:w="3487"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3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69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487"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32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2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69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32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6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3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2,324.94</w:t>
            </w:r>
          </w:p>
        </w:tc>
        <w:tc>
          <w:tcPr>
            <w:tcW w:w="34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7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32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2,324.94</w:t>
            </w:r>
          </w:p>
        </w:tc>
        <w:tc>
          <w:tcPr>
            <w:tcW w:w="15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1,528.59</w:t>
            </w:r>
          </w:p>
        </w:tc>
        <w:tc>
          <w:tcPr>
            <w:tcW w:w="138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796.35</w:t>
            </w:r>
          </w:p>
        </w:tc>
        <w:tc>
          <w:tcPr>
            <w:tcW w:w="16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i w:val="0"/>
          <w:color w:val="000000"/>
          <w:kern w:val="0"/>
          <w:sz w:val="20"/>
          <w:szCs w:val="20"/>
          <w:u w:val="none"/>
          <w:lang w:val="en-US" w:eastAsia="zh-CN" w:bidi="ar"/>
        </w:rPr>
        <w:t>沅江市城市管理和综合执法局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3899" w:type="dxa"/>
        <w:jc w:val="center"/>
        <w:tblLayout w:type="autofit"/>
        <w:tblCellMar>
          <w:top w:w="0" w:type="dxa"/>
          <w:left w:w="108" w:type="dxa"/>
          <w:bottom w:w="0" w:type="dxa"/>
          <w:right w:w="108" w:type="dxa"/>
        </w:tblCellMar>
      </w:tblPr>
      <w:tblGrid>
        <w:gridCol w:w="1299"/>
        <w:gridCol w:w="5390"/>
        <w:gridCol w:w="2862"/>
        <w:gridCol w:w="2250"/>
        <w:gridCol w:w="2098"/>
      </w:tblGrid>
      <w:tr>
        <w:tblPrEx>
          <w:tblCellMar>
            <w:top w:w="0" w:type="dxa"/>
            <w:left w:w="108" w:type="dxa"/>
            <w:bottom w:w="0" w:type="dxa"/>
            <w:right w:w="108" w:type="dxa"/>
          </w:tblCellMar>
        </w:tblPrEx>
        <w:trPr>
          <w:trHeight w:val="405" w:hRule="atLeast"/>
          <w:jc w:val="center"/>
        </w:trPr>
        <w:tc>
          <w:tcPr>
            <w:tcW w:w="6689"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7210"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9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53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2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09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9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3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6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2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9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9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53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6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2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9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668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9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668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1,528.59</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300.81</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1,227.78</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53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53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2010305</w:t>
            </w:r>
          </w:p>
        </w:tc>
        <w:tc>
          <w:tcPr>
            <w:tcW w:w="53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53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2010404</w:t>
            </w:r>
          </w:p>
        </w:tc>
        <w:tc>
          <w:tcPr>
            <w:tcW w:w="53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442.82</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442.82</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污染防治</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442.82</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442.82</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2110302</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水体</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89.00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2110399</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353.82</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353.82</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53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8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1,045.18</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285.52</w:t>
            </w:r>
          </w:p>
        </w:tc>
        <w:tc>
          <w:tcPr>
            <w:tcW w:w="209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759.66</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城乡社区管理事务</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751.49</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285.52</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465.97</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2120101</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585.52</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285.52</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2120104</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165.97</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165.97</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21205</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城乡社区环境卫生</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293.69</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293.69</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2120501</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293.69</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293.69</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5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5390" w:type="dxa"/>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62" w:type="dxa"/>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14.69</w:t>
            </w:r>
          </w:p>
        </w:tc>
        <w:tc>
          <w:tcPr>
            <w:tcW w:w="2250" w:type="dxa"/>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14.69</w:t>
            </w:r>
          </w:p>
        </w:tc>
        <w:tc>
          <w:tcPr>
            <w:tcW w:w="2098" w:type="dxa"/>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14.69</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14.69</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14.69</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14.69</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22401</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应急管理事务</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r>
      <w:tr>
        <w:tblPrEx>
          <w:tblCellMar>
            <w:top w:w="0" w:type="dxa"/>
            <w:left w:w="108" w:type="dxa"/>
            <w:bottom w:w="0" w:type="dxa"/>
            <w:right w:w="108" w:type="dxa"/>
          </w:tblCellMar>
        </w:tblPrEx>
        <w:trPr>
          <w:trHeight w:val="450" w:hRule="atLeast"/>
          <w:jc w:val="center"/>
        </w:trPr>
        <w:tc>
          <w:tcPr>
            <w:tcW w:w="1299"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2240199</w:t>
            </w:r>
          </w:p>
        </w:tc>
        <w:tc>
          <w:tcPr>
            <w:tcW w:w="539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286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25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20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r>
      <w:tr>
        <w:tblPrEx>
          <w:tblCellMar>
            <w:top w:w="0" w:type="dxa"/>
            <w:left w:w="108" w:type="dxa"/>
            <w:bottom w:w="0" w:type="dxa"/>
            <w:right w:w="108" w:type="dxa"/>
          </w:tblCellMar>
        </w:tblPrEx>
        <w:trPr>
          <w:trHeight w:val="645" w:hRule="atLeast"/>
          <w:jc w:val="center"/>
        </w:trPr>
        <w:tc>
          <w:tcPr>
            <w:tcW w:w="1389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fixed"/>
        <w:tblCellMar>
          <w:top w:w="0" w:type="dxa"/>
          <w:left w:w="108" w:type="dxa"/>
          <w:bottom w:w="0" w:type="dxa"/>
          <w:right w:w="108" w:type="dxa"/>
        </w:tblCellMar>
      </w:tblPr>
      <w:tblGrid>
        <w:gridCol w:w="921"/>
        <w:gridCol w:w="82"/>
        <w:gridCol w:w="240"/>
        <w:gridCol w:w="3303"/>
        <w:gridCol w:w="1062"/>
        <w:gridCol w:w="938"/>
        <w:gridCol w:w="27"/>
        <w:gridCol w:w="2098"/>
        <w:gridCol w:w="218"/>
        <w:gridCol w:w="648"/>
        <w:gridCol w:w="684"/>
        <w:gridCol w:w="539"/>
        <w:gridCol w:w="686"/>
        <w:gridCol w:w="1575"/>
        <w:gridCol w:w="1237"/>
        <w:gridCol w:w="708"/>
        <w:gridCol w:w="517"/>
        <w:gridCol w:w="131"/>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i w:val="0"/>
                <w:color w:val="000000"/>
                <w:kern w:val="0"/>
                <w:sz w:val="20"/>
                <w:szCs w:val="20"/>
                <w:u w:val="none"/>
                <w:lang w:val="en-US" w:eastAsia="zh-CN" w:bidi="ar"/>
              </w:rPr>
              <w:t>沅江市城市管理和综合执法局</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6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0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264.28</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31.40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106.22</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3.66</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25.73</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1.92</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52.43</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22.36</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0.24</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w:t>
            </w:r>
          </w:p>
        </w:tc>
      </w:tr>
      <w:tr>
        <w:tblPrEx>
          <w:tblCellMar>
            <w:top w:w="0" w:type="dxa"/>
            <w:left w:w="108" w:type="dxa"/>
            <w:bottom w:w="0" w:type="dxa"/>
            <w:right w:w="108" w:type="dxa"/>
          </w:tblCellMar>
        </w:tblPrEx>
        <w:trPr>
          <w:trHeight w:val="299"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20.70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3.42</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0.76</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0.23</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3.31</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14.69</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1.31</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5.87</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4.04</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0.05</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0.72</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0.41</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0.02</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0.47</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2.54</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0.08</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39909</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39910</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12.52</w:t>
            </w:r>
          </w:p>
        </w:tc>
        <w:tc>
          <w:tcPr>
            <w:tcW w:w="1223"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39999</w:t>
            </w:r>
          </w:p>
        </w:tc>
        <w:tc>
          <w:tcPr>
            <w:tcW w:w="42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62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1.08</w:t>
            </w: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92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625"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06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6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3.05</w:t>
            </w:r>
          </w:p>
        </w:tc>
        <w:tc>
          <w:tcPr>
            <w:tcW w:w="1223"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268.32</w:t>
            </w:r>
          </w:p>
        </w:tc>
        <w:tc>
          <w:tcPr>
            <w:tcW w:w="9358" w:type="dxa"/>
            <w:gridSpan w:val="11"/>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32.50</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690" w:hRule="atLeast"/>
        </w:trPr>
        <w:tc>
          <w:tcPr>
            <w:tcW w:w="15483"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690" w:hRule="atLeast"/>
        </w:trPr>
        <w:tc>
          <w:tcPr>
            <w:tcW w:w="1003" w:type="dxa"/>
            <w:gridSpan w:val="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5303" w:type="dxa"/>
            <w:gridSpan w:val="3"/>
            <w:tcBorders>
              <w:top w:val="nil"/>
              <w:left w:val="nil"/>
              <w:bottom w:val="nil"/>
              <w:right w:val="nil"/>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沅江市城市管理和综合执法局</w:t>
            </w:r>
          </w:p>
        </w:tc>
        <w:tc>
          <w:tcPr>
            <w:tcW w:w="212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550"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5"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57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3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25"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459" w:hRule="atLeast"/>
        </w:trPr>
        <w:tc>
          <w:tcPr>
            <w:tcW w:w="6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5"/>
                <w:lang w:val="en-US" w:eastAsia="zh-CN" w:bidi="ar"/>
              </w:rPr>
              <w:t xml:space="preserve">   </w:t>
            </w:r>
            <w:r>
              <w:rPr>
                <w:rStyle w:val="16"/>
                <w:lang w:val="en-US" w:eastAsia="zh-CN" w:bidi="ar"/>
              </w:rPr>
              <w:t>目</w:t>
            </w:r>
          </w:p>
        </w:tc>
        <w:tc>
          <w:tcPr>
            <w:tcW w:w="2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15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40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609" w:hRule="atLeast"/>
        </w:trPr>
        <w:tc>
          <w:tcPr>
            <w:tcW w:w="12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53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4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312"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6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65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合计</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111.44</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684.91</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796.35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796.35</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21208</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2120803</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464.23</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其他支出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22904</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2290401</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220.68</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234</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23401</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2340108</w:t>
            </w:r>
          </w:p>
        </w:tc>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生态环境治理</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111.44</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1" w:type="dxa"/>
          <w:trHeight w:val="725" w:hRule="atLeast"/>
        </w:trPr>
        <w:tc>
          <w:tcPr>
            <w:tcW w:w="15483"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8"/>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993"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沅江市城市管理和综合执法局</w:t>
            </w: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7"/>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8"/>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2"/>
        <w:jc w:val="center"/>
        <w:rPr>
          <w:rFonts w:hint="eastAsia" w:ascii="方正小标宋_GBK" w:hAnsi="方正小标宋_GBK" w:eastAsia="方正小标宋_GBK" w:cs="方正小标宋_GBK"/>
          <w:sz w:val="70"/>
          <w:szCs w:val="70"/>
        </w:rPr>
      </w:pPr>
    </w:p>
    <w:p>
      <w:pPr>
        <w:pStyle w:val="12"/>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2987.01</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220.01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6.86</w:t>
      </w:r>
      <w:r>
        <w:rPr>
          <w:rFonts w:hint="eastAsia" w:ascii="Times New Roman" w:hAnsi="Times New Roman" w:eastAsia="仿宋_GB2312"/>
          <w:sz w:val="32"/>
          <w:szCs w:val="32"/>
        </w:rPr>
        <w:t>%，主要是因为</w:t>
      </w:r>
      <w:r>
        <w:rPr>
          <w:rFonts w:hint="eastAsia" w:ascii="仿宋" w:hAnsi="仿宋" w:eastAsia="仿宋"/>
          <w:sz w:val="32"/>
          <w:szCs w:val="32"/>
          <w:lang w:val="zh-CN"/>
        </w:rPr>
        <w:t>经费正常增减变动</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2987.01</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220.01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6.86</w:t>
      </w:r>
      <w:r>
        <w:rPr>
          <w:rFonts w:hint="eastAsia" w:ascii="Times New Roman" w:hAnsi="Times New Roman" w:eastAsia="仿宋_GB2312"/>
          <w:sz w:val="32"/>
          <w:szCs w:val="32"/>
        </w:rPr>
        <w:t>%，主要是因为</w:t>
      </w:r>
      <w:r>
        <w:rPr>
          <w:rFonts w:hint="eastAsia" w:ascii="仿宋" w:hAnsi="仿宋" w:eastAsia="仿宋"/>
          <w:sz w:val="32"/>
          <w:szCs w:val="32"/>
          <w:lang w:val="zh-CN"/>
        </w:rPr>
        <w:t>经费正常增减变动</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2564.61</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2123.08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82.78</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441.54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17.22</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2905.38</w:t>
      </w:r>
      <w:r>
        <w:rPr>
          <w:rFonts w:hint="eastAsia" w:ascii="Times New Roman" w:hAnsi="Times New Roman" w:eastAsia="仿宋_GB2312"/>
          <w:sz w:val="32"/>
          <w:szCs w:val="32"/>
        </w:rPr>
        <w:t>万元，其中：基本支出</w:t>
      </w:r>
      <w:r>
        <w:rPr>
          <w:rFonts w:hint="eastAsia" w:ascii="仿宋" w:hAnsi="仿宋" w:eastAsia="仿宋"/>
          <w:sz w:val="32"/>
          <w:szCs w:val="32"/>
        </w:rPr>
        <w:t>304.89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10.49</w:t>
      </w:r>
      <w:r>
        <w:rPr>
          <w:rFonts w:hint="eastAsia" w:ascii="Times New Roman" w:hAnsi="Times New Roman" w:eastAsia="仿宋_GB2312"/>
          <w:sz w:val="32"/>
          <w:szCs w:val="32"/>
        </w:rPr>
        <w:t>%；项目支出</w:t>
      </w:r>
      <w:r>
        <w:rPr>
          <w:rFonts w:hint="eastAsia" w:ascii="仿宋" w:hAnsi="仿宋" w:eastAsia="仿宋"/>
          <w:sz w:val="32"/>
          <w:szCs w:val="32"/>
        </w:rPr>
        <w:t>2600.48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89.51</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财政拨款</w:t>
      </w:r>
      <w:r>
        <w:rPr>
          <w:rFonts w:hint="eastAsia" w:ascii="Times New Roman" w:hAnsi="Times New Roman" w:eastAsia="仿宋_GB2312"/>
          <w:sz w:val="32"/>
          <w:szCs w:val="32"/>
        </w:rPr>
        <w:t>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2324.94</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0.06</w:t>
      </w:r>
      <w:r>
        <w:rPr>
          <w:rFonts w:hint="eastAsia" w:ascii="Times New Roman" w:hAnsi="Times New Roman" w:eastAsia="仿宋_GB2312"/>
          <w:sz w:val="32"/>
          <w:szCs w:val="32"/>
        </w:rPr>
        <w:t>%，主要是因为</w:t>
      </w:r>
      <w:r>
        <w:rPr>
          <w:rFonts w:hint="eastAsia" w:ascii="仿宋" w:hAnsi="仿宋" w:eastAsia="仿宋"/>
          <w:sz w:val="32"/>
          <w:szCs w:val="32"/>
          <w:lang w:val="zh-CN"/>
        </w:rPr>
        <w:t>经费正常增减变动</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财政拨款支出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2324.94</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0.06</w:t>
      </w:r>
      <w:r>
        <w:rPr>
          <w:rFonts w:hint="eastAsia" w:ascii="Times New Roman" w:hAnsi="Times New Roman" w:eastAsia="仿宋_GB2312"/>
          <w:sz w:val="32"/>
          <w:szCs w:val="32"/>
        </w:rPr>
        <w:t>%，主要是因为</w:t>
      </w:r>
      <w:r>
        <w:rPr>
          <w:rFonts w:hint="eastAsia" w:ascii="仿宋" w:hAnsi="仿宋" w:eastAsia="仿宋"/>
          <w:sz w:val="32"/>
          <w:szCs w:val="32"/>
          <w:lang w:val="zh-CN"/>
        </w:rPr>
        <w:t>经费正常增减变动</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1528.59</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65.57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84.67</w:t>
      </w:r>
      <w:r>
        <w:rPr>
          <w:rFonts w:hint="eastAsia" w:ascii="Times New Roman" w:hAnsi="Times New Roman" w:eastAsia="仿宋_GB2312"/>
          <w:sz w:val="32"/>
          <w:szCs w:val="32"/>
        </w:rPr>
        <w:t>万元，增长（减少）</w:t>
      </w:r>
      <w:r>
        <w:rPr>
          <w:rFonts w:hint="eastAsia" w:ascii="Times New Roman" w:hAnsi="Times New Roman" w:eastAsia="仿宋_GB2312"/>
          <w:sz w:val="32"/>
          <w:szCs w:val="32"/>
          <w:lang w:val="en-US" w:eastAsia="zh-CN"/>
        </w:rPr>
        <w:t>5.86</w:t>
      </w:r>
      <w:r>
        <w:rPr>
          <w:rFonts w:hint="eastAsia" w:ascii="Times New Roman" w:hAnsi="Times New Roman" w:eastAsia="仿宋_GB2312"/>
          <w:sz w:val="32"/>
          <w:szCs w:val="32"/>
        </w:rPr>
        <w:t>%，主要是因为</w:t>
      </w:r>
      <w:r>
        <w:rPr>
          <w:rFonts w:hint="eastAsia" w:ascii="仿宋" w:hAnsi="仿宋" w:eastAsia="仿宋"/>
          <w:sz w:val="32"/>
          <w:szCs w:val="32"/>
          <w:lang w:val="zh-CN"/>
        </w:rPr>
        <w:t>经费正常增减变动</w:t>
      </w:r>
      <w:r>
        <w:rPr>
          <w:rFonts w:hint="eastAsia" w:ascii="仿宋" w:hAnsi="仿宋" w:eastAsia="仿宋"/>
          <w:sz w:val="32"/>
          <w:szCs w:val="32"/>
        </w:rPr>
        <w:t>。</w:t>
      </w:r>
    </w:p>
    <w:p>
      <w:pPr>
        <w:pStyle w:val="12"/>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年度财政拨款支出</w:t>
      </w:r>
      <w:r>
        <w:rPr>
          <w:rFonts w:hint="eastAsia" w:ascii="仿宋" w:hAnsi="仿宋" w:eastAsia="仿宋" w:cs="仿宋"/>
          <w:lang w:val="en-US" w:eastAsia="zh-CN"/>
        </w:rPr>
        <w:t>1528.59</w:t>
      </w:r>
      <w:r>
        <w:rPr>
          <w:rFonts w:hint="eastAsia" w:ascii="仿宋" w:hAnsi="仿宋" w:eastAsia="仿宋" w:cs="仿宋"/>
        </w:rPr>
        <w:t>万元，</w:t>
      </w:r>
      <w:bookmarkStart w:id="3" w:name="START_PAY_AMT_1"/>
      <w:bookmarkEnd w:id="3"/>
      <w:bookmarkStart w:id="4" w:name="DIS_MARK_PAY_AMT_1"/>
      <w:r>
        <w:rPr>
          <w:rFonts w:hint="eastAsia" w:ascii="仿宋" w:hAnsi="仿宋" w:eastAsia="仿宋" w:cs="仿宋"/>
        </w:rPr>
        <w:t>主要用于以下方面：一般公共服务支出（类）</w:t>
      </w:r>
      <w:r>
        <w:rPr>
          <w:rFonts w:hint="eastAsia" w:ascii="仿宋" w:hAnsi="仿宋" w:eastAsia="仿宋" w:cs="仿宋"/>
          <w:lang w:val="en-US" w:eastAsia="zh-CN"/>
        </w:rPr>
        <w:t>12.3</w:t>
      </w:r>
      <w:r>
        <w:rPr>
          <w:rFonts w:hint="eastAsia" w:ascii="仿宋" w:hAnsi="仿宋" w:eastAsia="仿宋" w:cs="仿宋"/>
        </w:rPr>
        <w:t>万元，占比</w:t>
      </w:r>
      <w:r>
        <w:rPr>
          <w:rFonts w:hint="eastAsia" w:ascii="仿宋" w:hAnsi="仿宋" w:eastAsia="仿宋" w:cs="仿宋"/>
          <w:lang w:val="en-US" w:eastAsia="zh-CN"/>
        </w:rPr>
        <w:t>0.8</w:t>
      </w:r>
      <w:r>
        <w:rPr>
          <w:rFonts w:hint="eastAsia" w:ascii="仿宋" w:hAnsi="仿宋" w:eastAsia="仿宋" w:cs="仿宋"/>
        </w:rPr>
        <w:t>%；科学技术支出（类）</w:t>
      </w:r>
      <w:r>
        <w:rPr>
          <w:rFonts w:hint="eastAsia" w:ascii="仿宋" w:hAnsi="仿宋" w:eastAsia="仿宋" w:cs="仿宋"/>
          <w:lang w:val="en-US" w:eastAsia="zh-CN"/>
        </w:rPr>
        <w:t>0.30</w:t>
      </w:r>
      <w:r>
        <w:rPr>
          <w:rFonts w:hint="eastAsia" w:ascii="仿宋" w:hAnsi="仿宋" w:eastAsia="仿宋" w:cs="仿宋"/>
        </w:rPr>
        <w:t>万元，占比0.0</w:t>
      </w:r>
      <w:r>
        <w:rPr>
          <w:rFonts w:hint="eastAsia" w:ascii="仿宋" w:hAnsi="仿宋" w:eastAsia="仿宋" w:cs="仿宋"/>
          <w:lang w:val="en-US" w:eastAsia="zh-CN"/>
        </w:rPr>
        <w:t>1</w:t>
      </w:r>
      <w:r>
        <w:rPr>
          <w:rFonts w:hint="eastAsia" w:ascii="仿宋" w:hAnsi="仿宋" w:eastAsia="仿宋" w:cs="仿宋"/>
        </w:rPr>
        <w:t>%；节能环保支出（类）</w:t>
      </w:r>
      <w:r>
        <w:rPr>
          <w:rFonts w:hint="eastAsia" w:ascii="仿宋" w:hAnsi="仿宋" w:eastAsia="仿宋" w:cs="仿宋"/>
          <w:lang w:val="en-US" w:eastAsia="zh-CN"/>
        </w:rPr>
        <w:t>442.82</w:t>
      </w:r>
      <w:r>
        <w:rPr>
          <w:rFonts w:hint="eastAsia" w:ascii="仿宋" w:hAnsi="仿宋" w:eastAsia="仿宋" w:cs="仿宋"/>
        </w:rPr>
        <w:t>万元，占比</w:t>
      </w:r>
      <w:r>
        <w:rPr>
          <w:rFonts w:hint="eastAsia" w:ascii="仿宋" w:hAnsi="仿宋" w:eastAsia="仿宋" w:cs="仿宋"/>
          <w:lang w:val="en-US" w:eastAsia="zh-CN"/>
        </w:rPr>
        <w:t>28.98</w:t>
      </w:r>
      <w:r>
        <w:rPr>
          <w:rFonts w:hint="eastAsia" w:ascii="仿宋" w:hAnsi="仿宋" w:eastAsia="仿宋" w:cs="仿宋"/>
        </w:rPr>
        <w:t>%；城乡社区支出（类）</w:t>
      </w:r>
      <w:r>
        <w:rPr>
          <w:rFonts w:hint="eastAsia" w:ascii="仿宋" w:hAnsi="仿宋" w:eastAsia="仿宋" w:cs="仿宋"/>
          <w:lang w:val="en-US" w:eastAsia="zh-CN"/>
        </w:rPr>
        <w:t>1045.18</w:t>
      </w:r>
      <w:r>
        <w:rPr>
          <w:rFonts w:hint="eastAsia" w:ascii="仿宋" w:hAnsi="仿宋" w:eastAsia="仿宋" w:cs="仿宋"/>
        </w:rPr>
        <w:t>万元，占比</w:t>
      </w:r>
      <w:r>
        <w:rPr>
          <w:rFonts w:hint="eastAsia" w:ascii="仿宋" w:hAnsi="仿宋" w:eastAsia="仿宋" w:cs="仿宋"/>
          <w:lang w:val="en-US" w:eastAsia="zh-CN"/>
        </w:rPr>
        <w:t>68.39</w:t>
      </w:r>
      <w:r>
        <w:rPr>
          <w:rFonts w:hint="eastAsia" w:ascii="仿宋" w:hAnsi="仿宋" w:eastAsia="仿宋" w:cs="仿宋"/>
        </w:rPr>
        <w:t>%；农林水支出（类）</w:t>
      </w:r>
      <w:r>
        <w:rPr>
          <w:rFonts w:hint="eastAsia" w:ascii="仿宋" w:hAnsi="仿宋" w:eastAsia="仿宋" w:cs="仿宋"/>
          <w:lang w:val="en-US" w:eastAsia="zh-CN"/>
        </w:rPr>
        <w:t>4</w:t>
      </w:r>
      <w:r>
        <w:rPr>
          <w:rFonts w:hint="eastAsia" w:ascii="仿宋" w:hAnsi="仿宋" w:eastAsia="仿宋" w:cs="仿宋"/>
        </w:rPr>
        <w:t>万元，占比</w:t>
      </w:r>
      <w:r>
        <w:rPr>
          <w:rFonts w:hint="eastAsia" w:ascii="仿宋" w:hAnsi="仿宋" w:eastAsia="仿宋" w:cs="仿宋"/>
          <w:lang w:val="en-US" w:eastAsia="zh-CN"/>
        </w:rPr>
        <w:t>0.26</w:t>
      </w:r>
      <w:r>
        <w:rPr>
          <w:rFonts w:hint="eastAsia" w:ascii="仿宋" w:hAnsi="仿宋" w:eastAsia="仿宋" w:cs="仿宋"/>
        </w:rPr>
        <w:t>%；住房保障支出（类）</w:t>
      </w:r>
      <w:r>
        <w:rPr>
          <w:rFonts w:hint="eastAsia" w:ascii="仿宋" w:hAnsi="仿宋" w:eastAsia="仿宋" w:cs="仿宋"/>
          <w:lang w:val="en-US" w:eastAsia="zh-CN"/>
        </w:rPr>
        <w:t>14.69</w:t>
      </w:r>
      <w:r>
        <w:rPr>
          <w:rFonts w:hint="eastAsia" w:ascii="仿宋" w:hAnsi="仿宋" w:eastAsia="仿宋" w:cs="仿宋"/>
        </w:rPr>
        <w:t>万元，占比</w:t>
      </w:r>
      <w:r>
        <w:rPr>
          <w:rFonts w:hint="eastAsia" w:ascii="仿宋" w:hAnsi="仿宋" w:eastAsia="仿宋" w:cs="仿宋"/>
          <w:lang w:val="en-US" w:eastAsia="zh-CN"/>
        </w:rPr>
        <w:t>0.96</w:t>
      </w:r>
      <w:r>
        <w:rPr>
          <w:rFonts w:hint="eastAsia" w:ascii="仿宋" w:hAnsi="仿宋" w:eastAsia="仿宋" w:cs="仿宋"/>
        </w:rPr>
        <w:t>%</w:t>
      </w:r>
      <w:r>
        <w:rPr>
          <w:rFonts w:hint="eastAsia" w:ascii="仿宋" w:hAnsi="仿宋" w:eastAsia="仿宋" w:cs="仿宋"/>
          <w:lang w:val="en-US" w:eastAsia="zh-CN"/>
        </w:rPr>
        <w:t>;灾害防治及应急管理支出9.3</w:t>
      </w:r>
      <w:r>
        <w:rPr>
          <w:rFonts w:hint="eastAsia" w:ascii="仿宋" w:hAnsi="仿宋" w:eastAsia="仿宋" w:cs="仿宋"/>
        </w:rPr>
        <w:t>万元，占比</w:t>
      </w:r>
      <w:r>
        <w:rPr>
          <w:rFonts w:hint="eastAsia" w:ascii="仿宋" w:hAnsi="仿宋" w:eastAsia="仿宋" w:cs="仿宋"/>
          <w:lang w:val="en-US" w:eastAsia="zh-CN"/>
        </w:rPr>
        <w:t>0.6</w:t>
      </w:r>
      <w:r>
        <w:rPr>
          <w:rFonts w:hint="eastAsia" w:ascii="仿宋" w:hAnsi="仿宋" w:eastAsia="仿宋" w:cs="仿宋"/>
        </w:rPr>
        <w:t>%。</w:t>
      </w:r>
      <w:bookmarkEnd w:id="4"/>
      <w:bookmarkStart w:id="5" w:name="END_PAY_AMT_1"/>
      <w:bookmarkEnd w:id="5"/>
      <w:bookmarkStart w:id="6" w:name="END_PAY_ZWFXFZC_AMT_1"/>
      <w:bookmarkEnd w:id="6"/>
      <w:bookmarkStart w:id="7" w:name="DIS_MARK_PAY_KYTBGZAPDZC_AMT_1"/>
      <w:bookmarkEnd w:id="7"/>
      <w:bookmarkStart w:id="8" w:name="END_PAY_KYTBGZAPDZC_AMT_1"/>
      <w:bookmarkEnd w:id="8"/>
      <w:bookmarkStart w:id="9" w:name="START_PAY_ZWFXFZC_AMT_1"/>
      <w:bookmarkEnd w:id="9"/>
      <w:bookmarkStart w:id="10" w:name="START_PAY_KYTBGZAPDZC_AMT_1"/>
      <w:bookmarkEnd w:id="10"/>
      <w:bookmarkStart w:id="11" w:name="DIS_MARK_PAY_ZWFXZC_AMT_1"/>
      <w:bookmarkEnd w:id="11"/>
      <w:bookmarkStart w:id="12" w:name="DIS_MARK_PAY_ZWFXFZC_AMT_1"/>
      <w:bookmarkEnd w:id="12"/>
      <w:bookmarkStart w:id="13" w:name="END_PAY_ZWHBZC_AMT_1"/>
      <w:bookmarkEnd w:id="13"/>
      <w:bookmarkStart w:id="14" w:name="END_PAY_ZWFXZC_AMT_1"/>
      <w:bookmarkEnd w:id="14"/>
      <w:bookmarkStart w:id="15" w:name="START_PAY_ZWHBZC_AMT_1"/>
      <w:bookmarkEnd w:id="15"/>
      <w:bookmarkStart w:id="16" w:name="START_PAY_ZWFXZC_AMT_1"/>
      <w:bookmarkEnd w:id="16"/>
      <w:bookmarkStart w:id="17" w:name="DIS_MARK_PAY_ZYXZCZC_AMT_1"/>
      <w:bookmarkEnd w:id="17"/>
      <w:bookmarkStart w:id="18" w:name="DIS_MARK_PAY_ZWHBZC_AMT_1"/>
      <w:bookmarkEnd w:id="18"/>
      <w:bookmarkStart w:id="19" w:name="END_PAY_QTZC_AMT_1"/>
      <w:bookmarkEnd w:id="19"/>
      <w:bookmarkStart w:id="20" w:name="END_PAY_ZYXZCZC_AMT_1"/>
      <w:bookmarkEnd w:id="20"/>
      <w:bookmarkStart w:id="21" w:name="DIS_MARK_PAY_QTZC_AMT_1"/>
      <w:bookmarkEnd w:id="21"/>
      <w:bookmarkStart w:id="22" w:name="START_PAY_ZYXZCZC_AMT_1"/>
      <w:bookmarkEnd w:id="22"/>
      <w:bookmarkStart w:id="23" w:name="DIS_MARK_PAY_YBF_AMT_1"/>
      <w:bookmarkEnd w:id="23"/>
      <w:bookmarkStart w:id="24" w:name="START_PAY_QTZC_AMT_1"/>
      <w:bookmarkEnd w:id="24"/>
      <w:bookmarkStart w:id="25" w:name="END_PAY_ZHFZJYJGLZC_AMT_1"/>
      <w:bookmarkEnd w:id="25"/>
      <w:bookmarkStart w:id="26" w:name="END_PAY_YBF_AMT_1"/>
      <w:bookmarkEnd w:id="26"/>
      <w:bookmarkStart w:id="27" w:name="START_PAY_ZHFZJYJGLZC_AMT_1"/>
      <w:bookmarkEnd w:id="27"/>
      <w:bookmarkStart w:id="28" w:name="START_PAY_YBF_AMT_1"/>
      <w:bookmarkEnd w:id="28"/>
      <w:bookmarkStart w:id="29" w:name="DIS_MARK_PAY_GYZBJYYSZC_AMT_1"/>
      <w:bookmarkEnd w:id="29"/>
      <w:bookmarkStart w:id="30" w:name="DIS_MARK_PAY_ZHFZJYJGLZC_AMT_1"/>
      <w:bookmarkEnd w:id="30"/>
      <w:bookmarkStart w:id="31" w:name="START_PAY_GYZBJYYSZC_AMT_1"/>
      <w:bookmarkEnd w:id="31"/>
      <w:bookmarkStart w:id="32" w:name="END_PAY_GYZBJYYSZC_AMT_1"/>
      <w:bookmarkEnd w:id="32"/>
      <w:bookmarkStart w:id="33" w:name="DIS_MARK_PAY_LYWZCBZC_AMT_1"/>
      <w:bookmarkEnd w:id="33"/>
      <w:bookmarkStart w:id="34" w:name="END_PAY_ZFBZZC_AMT_1"/>
      <w:bookmarkEnd w:id="34"/>
      <w:bookmarkStart w:id="35" w:name="END_PAY_LYWZCBZC_AMT_1"/>
      <w:bookmarkEnd w:id="35"/>
      <w:bookmarkStart w:id="36" w:name="START_PAY_LYWZCBZC_AMT_1"/>
      <w:bookmarkEnd w:id="36"/>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1528.59</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1528.59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bookmarkStart w:id="37" w:name="LKX_BM"/>
      <w:r>
        <w:rPr>
          <w:rFonts w:hint="eastAsia" w:ascii="仿宋" w:hAnsi="仿宋" w:eastAsia="仿宋" w:cs="仿宋"/>
          <w:color w:val="000000"/>
          <w:shd w:val="clear" w:color="auto" w:fill="FFFFFF"/>
        </w:rPr>
        <w:t>1、一般公共服务支出（类）政府办公厅（室）及相关机构事务（款）专项业务及机关事务管理（项）。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0.3</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0.3</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color w:val="000000"/>
          <w:shd w:val="clear" w:color="auto" w:fill="FFFFFF"/>
          <w:lang w:val="en-US" w:eastAsia="zh-CN"/>
        </w:rPr>
        <w:t>2</w:t>
      </w:r>
      <w:r>
        <w:rPr>
          <w:rFonts w:hint="eastAsia" w:ascii="仿宋" w:hAnsi="仿宋" w:eastAsia="仿宋" w:cs="仿宋"/>
          <w:color w:val="000000"/>
          <w:shd w:val="clear" w:color="auto" w:fill="FFFFFF"/>
        </w:rPr>
        <w:t>、一般公共服务支出（类）发展与改革事务（款）战略规划与实施（项）。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12</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12</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3</w:t>
      </w:r>
      <w:r>
        <w:rPr>
          <w:rFonts w:hint="eastAsia" w:ascii="仿宋" w:hAnsi="仿宋" w:eastAsia="仿宋" w:cs="仿宋"/>
          <w:color w:val="000000"/>
          <w:shd w:val="clear" w:color="auto" w:fill="FFFFFF"/>
        </w:rPr>
        <w:t>、科学技术支出（类）其他科学技术支出（款）其他科学技术支出（项）。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0.3</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0.3</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4</w:t>
      </w:r>
      <w:r>
        <w:rPr>
          <w:rFonts w:hint="eastAsia" w:ascii="仿宋" w:hAnsi="仿宋" w:eastAsia="仿宋" w:cs="仿宋"/>
          <w:color w:val="000000"/>
          <w:shd w:val="clear" w:color="auto" w:fill="FFFFFF"/>
        </w:rPr>
        <w:t>、节能环保支出（类）污染防治（款）其他污染防治支出（项）。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353.82</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353.82</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5、节能环保支出（类）污染防治（款）水体（项）。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89</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89</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6、</w:t>
      </w:r>
      <w:r>
        <w:rPr>
          <w:rFonts w:hint="eastAsia" w:ascii="仿宋" w:hAnsi="仿宋" w:eastAsia="仿宋" w:cs="仿宋"/>
          <w:color w:val="000000"/>
          <w:shd w:val="clear" w:color="auto" w:fill="FFFFFF"/>
        </w:rPr>
        <w:t>城乡社区支出（类）城乡社区管理事务（款）行政运行（项）。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585.52</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585.52</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7</w:t>
      </w:r>
      <w:r>
        <w:rPr>
          <w:rFonts w:hint="eastAsia" w:ascii="仿宋" w:hAnsi="仿宋" w:eastAsia="仿宋" w:cs="仿宋"/>
          <w:color w:val="000000"/>
          <w:shd w:val="clear" w:color="auto" w:fill="FFFFFF"/>
        </w:rPr>
        <w:t>、城乡社区支出（类）城乡社区管理事务（款）</w:t>
      </w:r>
      <w:r>
        <w:rPr>
          <w:rFonts w:hint="eastAsia" w:ascii="仿宋" w:hAnsi="仿宋" w:eastAsia="仿宋" w:cs="仿宋"/>
          <w:color w:val="000000"/>
          <w:shd w:val="clear" w:color="auto" w:fill="FFFFFF"/>
          <w:lang w:eastAsia="zh-CN"/>
        </w:rPr>
        <w:t>城管执法</w:t>
      </w:r>
      <w:r>
        <w:rPr>
          <w:rFonts w:hint="eastAsia" w:ascii="仿宋" w:hAnsi="仿宋" w:eastAsia="仿宋" w:cs="仿宋"/>
          <w:color w:val="000000"/>
          <w:shd w:val="clear" w:color="auto" w:fill="FFFFFF"/>
        </w:rPr>
        <w:t>（项）。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165.97</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165.97</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8</w:t>
      </w:r>
      <w:r>
        <w:rPr>
          <w:rFonts w:hint="eastAsia" w:ascii="仿宋" w:hAnsi="仿宋" w:eastAsia="仿宋" w:cs="仿宋"/>
          <w:color w:val="000000"/>
          <w:shd w:val="clear" w:color="auto" w:fill="FFFFFF"/>
        </w:rPr>
        <w:t>、城乡社区支出（类）城乡社区环境卫生（款）城乡社区环境卫生（项）。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293.69</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293.69</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9、农林水支出（类）巩固脱贫衔接乡村振兴（款）其他巩固脱贫衔接乡村振兴支出（项）。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4</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4</w:t>
      </w:r>
      <w:r>
        <w:rPr>
          <w:rFonts w:hint="eastAsia" w:ascii="仿宋" w:hAnsi="仿宋" w:eastAsia="仿宋" w:cs="仿宋"/>
          <w:color w:val="000000"/>
          <w:shd w:val="clear" w:color="auto" w:fill="FFFFFF"/>
        </w:rPr>
        <w:t>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10、住房保障支出（类）住房改革支出（款）住房公积金（项）。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rPr>
        <w:t>年初预算为16.98万元，支出决算为16.98万元，完成年初预算的100%。</w:t>
      </w:r>
      <w:bookmarkEnd w:id="37"/>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color w:val="000000"/>
          <w:shd w:val="clear" w:color="auto" w:fill="FFFFFF"/>
        </w:rPr>
      </w:pPr>
      <w:r>
        <w:rPr>
          <w:rFonts w:hint="eastAsia" w:ascii="仿宋" w:hAnsi="仿宋" w:eastAsia="仿宋" w:cs="仿宋"/>
          <w:color w:val="000000"/>
          <w:shd w:val="clear" w:color="auto" w:fill="FFFFFF"/>
          <w:lang w:val="en-US" w:eastAsia="zh-CN"/>
        </w:rPr>
        <w:t>11、</w:t>
      </w:r>
      <w:r>
        <w:rPr>
          <w:rFonts w:hint="eastAsia" w:ascii="仿宋" w:hAnsi="仿宋" w:eastAsia="仿宋" w:cs="仿宋"/>
          <w:color w:val="000000"/>
          <w:shd w:val="clear" w:color="auto" w:fill="FFFFFF"/>
        </w:rPr>
        <w:t>灾害防治及应急管理支出（类）应急管理事务（款）其他应急管理支出（项）。</w:t>
      </w:r>
    </w:p>
    <w:p>
      <w:pPr>
        <w:pStyle w:val="3"/>
        <w:tabs>
          <w:tab w:val="left" w:pos="3864"/>
          <w:tab w:val="left" w:pos="6248"/>
          <w:tab w:val="left" w:pos="7386"/>
        </w:tabs>
        <w:overflowPunct w:val="0"/>
        <w:spacing w:before="1" w:line="360" w:lineRule="auto"/>
        <w:ind w:left="420" w:leftChars="200" w:right="420" w:firstLine="659" w:firstLineChars="206"/>
        <w:rPr>
          <w:rFonts w:hint="default" w:ascii="仿宋" w:hAnsi="仿宋" w:eastAsia="仿宋" w:cs="仿宋"/>
          <w:color w:val="000000"/>
          <w:shd w:val="clear" w:color="auto" w:fill="FFFFFF"/>
          <w:lang w:val="en-US" w:eastAsia="zh-CN"/>
        </w:rPr>
      </w:pPr>
      <w:r>
        <w:rPr>
          <w:rFonts w:hint="eastAsia" w:ascii="仿宋" w:hAnsi="仿宋" w:eastAsia="仿宋" w:cs="仿宋"/>
          <w:color w:val="000000"/>
          <w:shd w:val="clear" w:color="auto" w:fill="FFFFFF"/>
        </w:rPr>
        <w:t>年初预算为</w:t>
      </w:r>
      <w:r>
        <w:rPr>
          <w:rFonts w:hint="eastAsia" w:ascii="仿宋" w:hAnsi="仿宋" w:eastAsia="仿宋" w:cs="仿宋"/>
          <w:color w:val="000000"/>
          <w:shd w:val="clear" w:color="auto" w:fill="FFFFFF"/>
          <w:lang w:val="en-US" w:eastAsia="zh-CN"/>
        </w:rPr>
        <w:t>9.3</w:t>
      </w:r>
      <w:r>
        <w:rPr>
          <w:rFonts w:hint="eastAsia" w:ascii="仿宋" w:hAnsi="仿宋" w:eastAsia="仿宋" w:cs="仿宋"/>
          <w:color w:val="000000"/>
          <w:shd w:val="clear" w:color="auto" w:fill="FFFFFF"/>
        </w:rPr>
        <w:t>万元，支出决算为</w:t>
      </w:r>
      <w:r>
        <w:rPr>
          <w:rFonts w:hint="eastAsia" w:ascii="仿宋" w:hAnsi="仿宋" w:eastAsia="仿宋" w:cs="仿宋"/>
          <w:color w:val="000000"/>
          <w:shd w:val="clear" w:color="auto" w:fill="FFFFFF"/>
          <w:lang w:val="en-US" w:eastAsia="zh-CN"/>
        </w:rPr>
        <w:t>9.3</w:t>
      </w:r>
      <w:r>
        <w:rPr>
          <w:rFonts w:hint="eastAsia" w:ascii="仿宋" w:hAnsi="仿宋" w:eastAsia="仿宋" w:cs="仿宋"/>
          <w:color w:val="000000"/>
          <w:shd w:val="clear" w:color="auto" w:fill="FFFFFF"/>
        </w:rPr>
        <w:t>万元，完成年初预算的100%。</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300.82</w:t>
      </w:r>
      <w:r>
        <w:rPr>
          <w:rFonts w:hint="eastAsia" w:ascii="Times New Roman" w:hAnsi="Times New Roman" w:eastAsia="仿宋_GB2312"/>
          <w:sz w:val="32"/>
          <w:szCs w:val="32"/>
        </w:rPr>
        <w:t>万元，其中：人员经费</w:t>
      </w:r>
      <w:r>
        <w:rPr>
          <w:rFonts w:hint="eastAsia" w:ascii="Times New Roman" w:hAnsi="Times New Roman" w:eastAsia="仿宋_GB2312"/>
          <w:sz w:val="32"/>
          <w:szCs w:val="32"/>
          <w:lang w:val="en-US" w:eastAsia="zh-CN"/>
        </w:rPr>
        <w:t>268.32</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89.19</w:t>
      </w:r>
      <w:r>
        <w:rPr>
          <w:rFonts w:hint="eastAsia" w:ascii="Times New Roman" w:hAnsi="Times New Roman" w:eastAsia="仿宋_GB2312"/>
          <w:sz w:val="32"/>
          <w:szCs w:val="32"/>
        </w:rPr>
        <w:t>%，主要包括：基本工资、津贴补贴、奖金、伙食补助费、机关事业单位基本养老保险缴费、职业年金缴费、职工基本医疗保险缴费、其他社会保障缴费、住房公积金、退休费、抚恤金、生活补助、救济费、奖励金、其他对个人和家庭的补助；公用经费</w:t>
      </w:r>
      <w:r>
        <w:rPr>
          <w:rFonts w:hint="eastAsia" w:ascii="Times New Roman" w:hAnsi="Times New Roman" w:eastAsia="仿宋_GB2312"/>
          <w:sz w:val="32"/>
          <w:szCs w:val="32"/>
          <w:lang w:val="en-US" w:eastAsia="zh-CN"/>
        </w:rPr>
        <w:t>32.5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10.81</w:t>
      </w:r>
      <w:r>
        <w:rPr>
          <w:rFonts w:hint="eastAsia" w:ascii="Times New Roman" w:hAnsi="Times New Roman" w:eastAsia="仿宋_GB2312"/>
          <w:sz w:val="32"/>
          <w:szCs w:val="32"/>
        </w:rPr>
        <w:t>%，主要包括：办公费、印刷费、咨询费、水费、电费、邮电费、物业管理费、差旅费、维修（护）费、会议费、培训费、公务接待费、劳务费、委托业务费、工会经费、福利费、公务用车运行维护费、其他商品和服务支出。</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rPr>
      </w:pPr>
      <w:r>
        <w:rPr>
          <w:rFonts w:hint="eastAsia" w:ascii="楷体" w:hAnsi="楷体" w:eastAsia="楷体" w:cs="楷体"/>
          <w:b/>
          <w:bCs w:val="0"/>
          <w:sz w:val="32"/>
          <w:szCs w:val="32"/>
        </w:rPr>
        <w:t>（一）“三公”经费财政拨款支出决算总体情况说明</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“三公”经费财政拨款支出预算为</w:t>
      </w:r>
      <w:r>
        <w:rPr>
          <w:rFonts w:hint="eastAsia" w:ascii="仿宋" w:hAnsi="仿宋" w:eastAsia="仿宋" w:cs="仿宋"/>
          <w:lang w:val="en-US" w:eastAsia="zh-CN"/>
        </w:rPr>
        <w:t>34.47</w:t>
      </w:r>
      <w:r>
        <w:rPr>
          <w:rFonts w:hint="eastAsia" w:ascii="仿宋" w:hAnsi="仿宋" w:eastAsia="仿宋" w:cs="仿宋"/>
        </w:rPr>
        <w:t>万元，支出决算为</w:t>
      </w:r>
      <w:r>
        <w:rPr>
          <w:rFonts w:hint="eastAsia" w:ascii="仿宋" w:hAnsi="仿宋" w:eastAsia="仿宋" w:cs="仿宋"/>
          <w:lang w:val="en-US" w:eastAsia="zh-CN"/>
        </w:rPr>
        <w:t>34.47</w:t>
      </w:r>
      <w:r>
        <w:rPr>
          <w:rFonts w:hint="eastAsia" w:ascii="仿宋" w:hAnsi="仿宋" w:eastAsia="仿宋" w:cs="仿宋"/>
        </w:rPr>
        <w:t>万元，</w:t>
      </w:r>
      <w:bookmarkStart w:id="38" w:name="START_THERR_CZBK_BGT_AMT"/>
      <w:bookmarkEnd w:id="38"/>
      <w:bookmarkStart w:id="39" w:name="DIS_MARK_THERR_CZBK_BGT_AMT"/>
      <w:r>
        <w:rPr>
          <w:rFonts w:hint="eastAsia" w:ascii="仿宋" w:hAnsi="仿宋" w:eastAsia="仿宋" w:cs="仿宋"/>
        </w:rPr>
        <w:t>完成预算的</w:t>
      </w:r>
      <w:bookmarkStart w:id="40" w:name="THERR_CZBK_FINAL_ACCOUNTS_AMT_BL"/>
      <w:r>
        <w:rPr>
          <w:rFonts w:hint="eastAsia" w:ascii="仿宋" w:hAnsi="仿宋" w:eastAsia="仿宋" w:cs="仿宋"/>
        </w:rPr>
        <w:t>100.00</w:t>
      </w:r>
      <w:bookmarkEnd w:id="40"/>
      <w:r>
        <w:rPr>
          <w:rFonts w:hint="eastAsia" w:ascii="仿宋" w:hAnsi="仿宋" w:eastAsia="仿宋" w:cs="仿宋"/>
        </w:rPr>
        <w:t>%，</w:t>
      </w:r>
      <w:bookmarkEnd w:id="39"/>
      <w:bookmarkStart w:id="41" w:name="END_THERR_CZBK_BGT_AMT"/>
      <w:bookmarkEnd w:id="41"/>
      <w:r>
        <w:rPr>
          <w:rFonts w:hint="eastAsia" w:ascii="仿宋" w:hAnsi="仿宋" w:eastAsia="仿宋" w:cs="仿宋"/>
        </w:rPr>
        <w:t>其中：因公出国（境）费支出预算为</w:t>
      </w:r>
      <w:bookmarkStart w:id="42" w:name="THERR_CZBK_YGCGJFY_BGT_AMT"/>
      <w:r>
        <w:rPr>
          <w:rFonts w:hint="eastAsia" w:ascii="仿宋" w:hAnsi="仿宋" w:eastAsia="仿宋" w:cs="仿宋"/>
        </w:rPr>
        <w:t>0.00</w:t>
      </w:r>
      <w:bookmarkEnd w:id="42"/>
      <w:r>
        <w:rPr>
          <w:rFonts w:hint="eastAsia" w:ascii="仿宋" w:hAnsi="仿宋" w:eastAsia="仿宋" w:cs="仿宋"/>
        </w:rPr>
        <w:t>万元，支出决算为</w:t>
      </w:r>
      <w:bookmarkStart w:id="43" w:name="THERR_CZBK_YGCGJFY_FINAL_ACCOUNTS_AMT"/>
      <w:r>
        <w:rPr>
          <w:rFonts w:hint="eastAsia" w:ascii="仿宋" w:hAnsi="仿宋" w:eastAsia="仿宋" w:cs="仿宋"/>
        </w:rPr>
        <w:t>0.00</w:t>
      </w:r>
      <w:bookmarkEnd w:id="43"/>
      <w:r>
        <w:rPr>
          <w:rFonts w:hint="eastAsia" w:ascii="仿宋" w:hAnsi="仿宋" w:eastAsia="仿宋" w:cs="仿宋"/>
        </w:rPr>
        <w:t>万元，</w:t>
      </w:r>
      <w:bookmarkStart w:id="44" w:name="START_THERR_CZBK_YGCGJFY_FINAL_BGT_DB1"/>
      <w:bookmarkEnd w:id="44"/>
      <w:bookmarkStart w:id="45" w:name="END_THERR_CZBK_YGCGJFY_FINAL_BGT_DB"/>
      <w:bookmarkEnd w:id="45"/>
      <w:bookmarkStart w:id="46" w:name="DIS_MARK_THERR_CZBK_YGCGJFY_FINAL_BGT_DB"/>
      <w:bookmarkEnd w:id="46"/>
      <w:bookmarkStart w:id="47" w:name="START_THERR_CZBK_YGCGJFY_FINAL_BGT_DB"/>
      <w:bookmarkEnd w:id="47"/>
      <w:bookmarkStart w:id="48" w:name="END_THERR_CZBK_YGCGJFY_BGT_AMT"/>
      <w:bookmarkEnd w:id="48"/>
      <w:bookmarkStart w:id="49" w:name="DIS_MARK_THERR_CZBK_YGCGJFY_BGT_AMT"/>
      <w:bookmarkEnd w:id="49"/>
      <w:bookmarkStart w:id="50" w:name="START_THERR_CZBK_YGCGJFY_BGT_AMT"/>
      <w:bookmarkEnd w:id="50"/>
      <w:r>
        <w:rPr>
          <w:rFonts w:hint="eastAsia" w:ascii="仿宋" w:hAnsi="仿宋" w:eastAsia="仿宋" w:cs="仿宋"/>
        </w:rPr>
        <w:t>与本年预算数相同，</w:t>
      </w:r>
      <w:bookmarkStart w:id="51" w:name="START_IS_ZERO_01_2"/>
      <w:bookmarkEnd w:id="51"/>
      <w:bookmarkStart w:id="52" w:name="END_IS_ZERO_01_1"/>
      <w:bookmarkEnd w:id="52"/>
      <w:bookmarkStart w:id="53" w:name="START_IS_ZERO_01_1"/>
      <w:bookmarkEnd w:id="53"/>
      <w:bookmarkStart w:id="54" w:name="DIS_MARK_IS_ZERO_01_1"/>
      <w:bookmarkEnd w:id="54"/>
      <w:bookmarkStart w:id="55" w:name="IS_ZERO_01"/>
      <w:bookmarkEnd w:id="55"/>
      <w:bookmarkStart w:id="56" w:name="END_THERR_CZBK_YGCGJFY_FINAL_BGT_DB1"/>
      <w:bookmarkEnd w:id="56"/>
      <w:bookmarkStart w:id="57" w:name="DIS_MARK_IS_ZERO_01_2"/>
      <w:r>
        <w:rPr>
          <w:rFonts w:hint="eastAsia" w:ascii="仿宋" w:hAnsi="仿宋" w:eastAsia="仿宋" w:cs="仿宋"/>
        </w:rPr>
        <w:t>与上年决算数相同。</w:t>
      </w:r>
      <w:bookmarkEnd w:id="57"/>
      <w:bookmarkStart w:id="58" w:name="END_IS_ZERO_01_2"/>
      <w:bookmarkEnd w:id="58"/>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公务接待费支出预算为</w:t>
      </w:r>
      <w:r>
        <w:rPr>
          <w:rFonts w:hint="eastAsia" w:ascii="仿宋" w:hAnsi="仿宋" w:eastAsia="仿宋" w:cs="仿宋"/>
          <w:lang w:val="en-US" w:eastAsia="zh-CN"/>
        </w:rPr>
        <w:t>0.78</w:t>
      </w:r>
      <w:r>
        <w:rPr>
          <w:rFonts w:hint="eastAsia" w:ascii="仿宋" w:hAnsi="仿宋" w:eastAsia="仿宋" w:cs="仿宋"/>
        </w:rPr>
        <w:t>万元，支出决算为</w:t>
      </w:r>
      <w:r>
        <w:rPr>
          <w:rFonts w:hint="eastAsia" w:ascii="仿宋" w:hAnsi="仿宋" w:eastAsia="仿宋" w:cs="仿宋"/>
          <w:lang w:val="en-US" w:eastAsia="zh-CN"/>
        </w:rPr>
        <w:t>0.78</w:t>
      </w:r>
      <w:r>
        <w:rPr>
          <w:rFonts w:hint="eastAsia" w:ascii="仿宋" w:hAnsi="仿宋" w:eastAsia="仿宋" w:cs="仿宋"/>
        </w:rPr>
        <w:t>万元，</w:t>
      </w:r>
      <w:bookmarkStart w:id="59" w:name="START_THERR_CZBK_GWJDF_BGT_AMT"/>
      <w:bookmarkEnd w:id="59"/>
      <w:bookmarkStart w:id="60" w:name="DIS_MARK_THERR_CZBK_GWJDF_BGT_AMT"/>
      <w:r>
        <w:rPr>
          <w:rFonts w:hint="eastAsia" w:ascii="仿宋" w:hAnsi="仿宋" w:eastAsia="仿宋" w:cs="仿宋"/>
        </w:rPr>
        <w:t>完成预算的</w:t>
      </w:r>
      <w:bookmarkStart w:id="61" w:name="THERR_CZBK_GWJDF_BGT_AMT_BL"/>
      <w:r>
        <w:rPr>
          <w:rFonts w:hint="eastAsia" w:ascii="仿宋" w:hAnsi="仿宋" w:eastAsia="仿宋" w:cs="仿宋"/>
        </w:rPr>
        <w:t>100.00</w:t>
      </w:r>
      <w:bookmarkEnd w:id="61"/>
      <w:r>
        <w:rPr>
          <w:rFonts w:hint="eastAsia" w:ascii="仿宋" w:hAnsi="仿宋" w:eastAsia="仿宋" w:cs="仿宋"/>
        </w:rPr>
        <w:t>%，</w:t>
      </w:r>
      <w:bookmarkEnd w:id="60"/>
      <w:bookmarkStart w:id="62" w:name="END_THERR_CZBK_GWJDF_BGT_AMT"/>
      <w:bookmarkEnd w:id="62"/>
      <w:bookmarkStart w:id="63" w:name="END_THERR_CZBK_GWJDF_FINAL_BGT_DB"/>
      <w:bookmarkEnd w:id="63"/>
      <w:bookmarkStart w:id="64" w:name="START_THERR_CZBK_GWJDF_FINAL_BGT_DB"/>
      <w:bookmarkEnd w:id="64"/>
      <w:bookmarkStart w:id="65" w:name="DIS_MARK_THERR_CZBK_GWJDF_FINAL_BGT_DB"/>
      <w:bookmarkEnd w:id="65"/>
      <w:bookmarkStart w:id="66" w:name="START_THERR_CZBK_GWJDF_FINAL_BGT_DB1"/>
      <w:bookmarkEnd w:id="66"/>
      <w:bookmarkStart w:id="67" w:name="DIS_MARK_THERR_CZBK_GWJDF_FINAL_BGT_DB1"/>
      <w:r>
        <w:rPr>
          <w:rFonts w:hint="eastAsia" w:ascii="仿宋" w:hAnsi="仿宋" w:eastAsia="仿宋" w:cs="仿宋"/>
        </w:rPr>
        <w:t>与本年预算数相同，</w:t>
      </w:r>
      <w:bookmarkEnd w:id="67"/>
      <w:bookmarkStart w:id="68" w:name="START_IS_ZERO_02_1"/>
      <w:bookmarkEnd w:id="68"/>
      <w:bookmarkStart w:id="69" w:name="END_THERR_CZBK_GWJDF_FINAL_BGT_DB1"/>
      <w:bookmarkEnd w:id="69"/>
      <w:bookmarkStart w:id="70" w:name="IS_ZERO_02"/>
      <w:bookmarkEnd w:id="70"/>
      <w:bookmarkStart w:id="71" w:name="DIS_MARK_IS_ZERO_02_1"/>
      <w:r>
        <w:rPr>
          <w:rFonts w:hint="eastAsia" w:ascii="仿宋" w:hAnsi="仿宋" w:eastAsia="仿宋" w:cs="仿宋"/>
        </w:rPr>
        <w:t>与上年相比</w:t>
      </w:r>
      <w:bookmarkStart w:id="72" w:name="THERR_CZBK_GWJDF_FINAL_ACCOUNTS_AMT_BD"/>
      <w:r>
        <w:rPr>
          <w:rFonts w:hint="eastAsia" w:ascii="仿宋" w:hAnsi="仿宋" w:eastAsia="仿宋" w:cs="仿宋"/>
        </w:rPr>
        <w:t>减少</w:t>
      </w:r>
      <w:bookmarkEnd w:id="72"/>
      <w:r>
        <w:rPr>
          <w:rFonts w:hint="eastAsia" w:ascii="仿宋" w:hAnsi="仿宋" w:eastAsia="仿宋" w:cs="仿宋"/>
          <w:lang w:val="en-US" w:eastAsia="zh-CN"/>
        </w:rPr>
        <w:t>0.38</w:t>
      </w:r>
      <w:r>
        <w:rPr>
          <w:rFonts w:hint="eastAsia" w:ascii="仿宋" w:hAnsi="仿宋" w:eastAsia="仿宋" w:cs="仿宋"/>
        </w:rPr>
        <w:t>万元，</w:t>
      </w:r>
      <w:bookmarkStart w:id="73" w:name="IS_ZERO_THERR_02"/>
      <w:bookmarkEnd w:id="73"/>
      <w:bookmarkStart w:id="74" w:name="START_IS_ZERO_THERR_02_1"/>
      <w:bookmarkEnd w:id="74"/>
      <w:bookmarkStart w:id="75" w:name="THERR_CZBK_GWJDF_FINAL_ACCOUNTS_AMT_BL"/>
      <w:bookmarkStart w:id="76" w:name="DIS_MARK_IS_ZERO_THERR_02_1"/>
      <w:r>
        <w:rPr>
          <w:rFonts w:hint="eastAsia" w:ascii="仿宋" w:hAnsi="仿宋" w:eastAsia="仿宋" w:cs="仿宋"/>
        </w:rPr>
        <w:t>下降</w:t>
      </w:r>
      <w:bookmarkEnd w:id="75"/>
      <w:r>
        <w:rPr>
          <w:rFonts w:hint="eastAsia" w:ascii="仿宋" w:hAnsi="仿宋" w:eastAsia="仿宋" w:cs="仿宋"/>
          <w:lang w:val="en-US" w:eastAsia="zh-CN"/>
        </w:rPr>
        <w:t>32.75</w:t>
      </w:r>
      <w:r>
        <w:rPr>
          <w:rFonts w:hint="eastAsia" w:ascii="仿宋" w:hAnsi="仿宋" w:eastAsia="仿宋" w:cs="仿宋"/>
        </w:rPr>
        <w:t>%，</w:t>
      </w:r>
      <w:bookmarkEnd w:id="76"/>
      <w:bookmarkStart w:id="77" w:name="END_IS_ZERO_THERR_02_1"/>
      <w:bookmarkEnd w:id="77"/>
      <w:bookmarkStart w:id="78" w:name="START_IS_ZERO_THERR_02_2"/>
      <w:bookmarkEnd w:id="78"/>
      <w:bookmarkStart w:id="79" w:name="END_IS_ZERO_THERR_02_2"/>
      <w:bookmarkEnd w:id="79"/>
      <w:bookmarkStart w:id="80" w:name="DIS_MARK_IS_ZERO_THERR_02_2"/>
      <w:bookmarkEnd w:id="80"/>
      <w:bookmarkStart w:id="81" w:name="THERR_CZBK_GWJDF_FINAL_ACCOUNTS_AMT_DB"/>
      <w:r>
        <w:rPr>
          <w:rFonts w:hint="eastAsia" w:ascii="仿宋" w:hAnsi="仿宋" w:eastAsia="仿宋" w:cs="仿宋"/>
        </w:rPr>
        <w:t>减少</w:t>
      </w:r>
      <w:bookmarkEnd w:id="81"/>
      <w:r>
        <w:rPr>
          <w:rFonts w:hint="eastAsia" w:ascii="仿宋" w:hAnsi="仿宋" w:eastAsia="仿宋" w:cs="仿宋"/>
        </w:rPr>
        <w:t>的主要原因</w:t>
      </w:r>
      <w:r>
        <w:rPr>
          <w:rFonts w:hint="eastAsia" w:ascii="仿宋" w:hAnsi="仿宋" w:eastAsia="仿宋" w:cs="仿宋"/>
          <w:lang w:val="en-US" w:eastAsia="zh-CN"/>
        </w:rPr>
        <w:t>是</w:t>
      </w:r>
      <w:bookmarkStart w:id="82" w:name="THERR_CZBK_GWJDF_FINAL_ACCOUNTS_MARK"/>
      <w:r>
        <w:rPr>
          <w:rFonts w:hint="eastAsia" w:ascii="仿宋" w:hAnsi="仿宋" w:eastAsia="仿宋" w:cs="仿宋"/>
        </w:rPr>
        <w:t>正常支出</w:t>
      </w:r>
      <w:bookmarkEnd w:id="82"/>
      <w:r>
        <w:rPr>
          <w:rFonts w:hint="eastAsia" w:ascii="仿宋" w:hAnsi="仿宋" w:eastAsia="仿宋" w:cs="仿宋"/>
        </w:rPr>
        <w:t>。</w:t>
      </w:r>
      <w:bookmarkEnd w:id="71"/>
      <w:bookmarkStart w:id="83" w:name="END_IS_ZERO_02_2"/>
      <w:bookmarkEnd w:id="83"/>
      <w:bookmarkStart w:id="84" w:name="START_IS_ZERO_02_2"/>
      <w:bookmarkEnd w:id="84"/>
      <w:bookmarkStart w:id="85" w:name="DIS_MARK_IS_ZERO_02_2"/>
      <w:bookmarkEnd w:id="85"/>
      <w:bookmarkStart w:id="86" w:name="END_IS_ZERO_02_1"/>
      <w:bookmarkEnd w:id="86"/>
    </w:p>
    <w:p>
      <w:pPr>
        <w:pStyle w:val="3"/>
        <w:tabs>
          <w:tab w:val="left" w:pos="3864"/>
          <w:tab w:val="left" w:pos="6248"/>
          <w:tab w:val="left" w:pos="7386"/>
        </w:tabs>
        <w:overflowPunct w:val="0"/>
        <w:spacing w:before="1" w:line="360" w:lineRule="auto"/>
        <w:ind w:left="420" w:leftChars="200" w:right="420" w:firstLine="659" w:firstLineChars="206"/>
        <w:rPr>
          <w:rFonts w:ascii="仿宋" w:hAnsi="仿宋" w:eastAsia="仿宋" w:cs="仿宋"/>
        </w:rPr>
      </w:pPr>
      <w:r>
        <w:rPr>
          <w:rFonts w:hint="eastAsia" w:ascii="仿宋" w:hAnsi="仿宋" w:eastAsia="仿宋" w:cs="仿宋"/>
        </w:rPr>
        <w:t>公务用车购置费及运行维护费支出预算为</w:t>
      </w:r>
      <w:r>
        <w:rPr>
          <w:rFonts w:hint="eastAsia" w:ascii="仿宋" w:hAnsi="仿宋" w:eastAsia="仿宋" w:cs="仿宋"/>
          <w:lang w:val="en-US" w:eastAsia="zh-CN"/>
        </w:rPr>
        <w:t>33.69</w:t>
      </w:r>
      <w:r>
        <w:rPr>
          <w:rFonts w:hint="eastAsia" w:ascii="仿宋" w:hAnsi="仿宋" w:eastAsia="仿宋" w:cs="仿宋"/>
        </w:rPr>
        <w:t>万元，支出决算为</w:t>
      </w:r>
      <w:r>
        <w:rPr>
          <w:rFonts w:hint="eastAsia" w:ascii="仿宋" w:hAnsi="仿宋" w:eastAsia="仿宋" w:cs="仿宋"/>
          <w:lang w:val="en-US" w:eastAsia="zh-CN"/>
        </w:rPr>
        <w:t>33.68</w:t>
      </w:r>
      <w:r>
        <w:rPr>
          <w:rFonts w:hint="eastAsia" w:ascii="仿宋" w:hAnsi="仿宋" w:eastAsia="仿宋" w:cs="仿宋"/>
        </w:rPr>
        <w:t>万元，</w:t>
      </w:r>
      <w:bookmarkStart w:id="87" w:name="START_THERR_CZBK_GWYCGZJYXW_BGT_AMT"/>
      <w:bookmarkEnd w:id="87"/>
      <w:bookmarkStart w:id="88" w:name="DIS_MARK_THERR_CZBK_GWYCGZJYXW_BGT_AMT"/>
      <w:r>
        <w:rPr>
          <w:rFonts w:hint="eastAsia" w:ascii="仿宋" w:hAnsi="仿宋" w:eastAsia="仿宋" w:cs="仿宋"/>
        </w:rPr>
        <w:t>完成预算的</w:t>
      </w:r>
      <w:bookmarkStart w:id="89" w:name="THERR_CZBK_GWYCGZJYXW_BGT_AMT_BL"/>
      <w:r>
        <w:rPr>
          <w:rFonts w:hint="eastAsia" w:ascii="仿宋" w:hAnsi="仿宋" w:eastAsia="仿宋" w:cs="仿宋"/>
        </w:rPr>
        <w:t>100.00</w:t>
      </w:r>
      <w:bookmarkEnd w:id="89"/>
      <w:r>
        <w:rPr>
          <w:rFonts w:hint="eastAsia" w:ascii="仿宋" w:hAnsi="仿宋" w:eastAsia="仿宋" w:cs="仿宋"/>
        </w:rPr>
        <w:t>%，</w:t>
      </w:r>
      <w:bookmarkEnd w:id="88"/>
      <w:bookmarkStart w:id="90" w:name="DIS_MARK_THERR_CZBK_GWYCGZJYXW_FINAL_BGT"/>
      <w:bookmarkEnd w:id="90"/>
      <w:bookmarkStart w:id="91" w:name="START_THERR_CZBK_GWYCGZJYXW_FINAL_BGT_DB"/>
      <w:bookmarkEnd w:id="91"/>
      <w:bookmarkStart w:id="92" w:name="END_THERR_CZBK_GWYCGZJYXW_BGT_AMT"/>
      <w:bookmarkEnd w:id="92"/>
      <w:bookmarkStart w:id="93" w:name="END_THERR_CZBK_GWYCGZJYXW_FINAL_BGT_DB"/>
      <w:bookmarkEnd w:id="93"/>
      <w:bookmarkStart w:id="94" w:name="START_THERR_CZBK_GWYCGZJYXW_FINAL_BGT_D"/>
      <w:bookmarkEnd w:id="94"/>
      <w:r>
        <w:rPr>
          <w:rFonts w:hint="eastAsia" w:ascii="仿宋" w:hAnsi="仿宋" w:eastAsia="仿宋" w:cs="仿宋"/>
        </w:rPr>
        <w:t>与本年预算数相同，</w:t>
      </w:r>
      <w:bookmarkStart w:id="95" w:name="START_IS_ZERO_03_1"/>
      <w:bookmarkEnd w:id="95"/>
      <w:bookmarkStart w:id="96" w:name="END_THERR_CZBK_GWYCGZJYXW_FINAL_BGT_D"/>
      <w:bookmarkEnd w:id="96"/>
      <w:bookmarkStart w:id="97" w:name="IS_ZERO_03"/>
      <w:bookmarkEnd w:id="97"/>
      <w:bookmarkStart w:id="98" w:name="DIS_MARK_IS_ZERO_03_1"/>
      <w:r>
        <w:rPr>
          <w:rFonts w:hint="eastAsia" w:ascii="仿宋" w:hAnsi="仿宋" w:eastAsia="仿宋" w:cs="仿宋"/>
        </w:rPr>
        <w:t>与上年相比</w:t>
      </w:r>
      <w:bookmarkStart w:id="99" w:name="THERR_CZBK_GWYCG_FINAL_ACCOUNTS_AMT_BD"/>
      <w:r>
        <w:rPr>
          <w:rFonts w:hint="eastAsia" w:ascii="仿宋" w:hAnsi="仿宋" w:eastAsia="仿宋" w:cs="仿宋"/>
        </w:rPr>
        <w:t>增加</w:t>
      </w:r>
      <w:bookmarkEnd w:id="99"/>
      <w:r>
        <w:rPr>
          <w:rFonts w:hint="eastAsia" w:ascii="仿宋" w:hAnsi="仿宋" w:eastAsia="仿宋" w:cs="仿宋"/>
          <w:lang w:val="en-US" w:eastAsia="zh-CN"/>
        </w:rPr>
        <w:t>27.47</w:t>
      </w:r>
      <w:r>
        <w:rPr>
          <w:rFonts w:hint="eastAsia" w:ascii="仿宋" w:hAnsi="仿宋" w:eastAsia="仿宋" w:cs="仿宋"/>
        </w:rPr>
        <w:t>万元，</w:t>
      </w:r>
      <w:bookmarkStart w:id="100" w:name="START_IS_ZERO_THERR_03_1"/>
      <w:bookmarkEnd w:id="100"/>
      <w:bookmarkStart w:id="101" w:name="IS_ZERO_THERR_03"/>
      <w:bookmarkEnd w:id="101"/>
      <w:bookmarkStart w:id="102" w:name="THERR_CZBK_GWYCGZ_FINAL_ACCOUNTS_AMT_BL"/>
      <w:bookmarkStart w:id="103" w:name="DIS_MARK_IS_ZERO_THERR_03_1"/>
      <w:r>
        <w:rPr>
          <w:rFonts w:hint="eastAsia" w:ascii="仿宋" w:hAnsi="仿宋" w:eastAsia="仿宋" w:cs="仿宋"/>
        </w:rPr>
        <w:t>上升</w:t>
      </w:r>
      <w:bookmarkEnd w:id="102"/>
      <w:r>
        <w:rPr>
          <w:rFonts w:hint="eastAsia" w:ascii="仿宋" w:hAnsi="仿宋" w:eastAsia="仿宋" w:cs="仿宋"/>
          <w:lang w:val="en-US" w:eastAsia="zh-CN"/>
        </w:rPr>
        <w:t>441</w:t>
      </w:r>
      <w:r>
        <w:rPr>
          <w:rFonts w:hint="eastAsia" w:ascii="仿宋" w:hAnsi="仿宋" w:eastAsia="仿宋" w:cs="仿宋"/>
        </w:rPr>
        <w:t>%，</w:t>
      </w:r>
      <w:bookmarkEnd w:id="103"/>
      <w:bookmarkStart w:id="104" w:name="DIS_MARK_IS_ZERO_THERR_03_2"/>
      <w:bookmarkEnd w:id="104"/>
      <w:bookmarkStart w:id="105" w:name="END_IS_ZERO_THERR_03_1"/>
      <w:bookmarkEnd w:id="105"/>
      <w:bookmarkStart w:id="106" w:name="START_IS_ZERO_THERR_03_2"/>
      <w:bookmarkEnd w:id="106"/>
      <w:bookmarkStart w:id="107" w:name="END_IS_ZERO_THERR_03_2"/>
      <w:bookmarkEnd w:id="107"/>
      <w:bookmarkStart w:id="108" w:name="THERR_CZBK_GWYCG_FINAL_ACCOUNTS_AMT_DB"/>
      <w:r>
        <w:rPr>
          <w:rFonts w:hint="eastAsia" w:ascii="仿宋" w:hAnsi="仿宋" w:eastAsia="仿宋" w:cs="仿宋"/>
        </w:rPr>
        <w:t>增长</w:t>
      </w:r>
      <w:bookmarkEnd w:id="108"/>
      <w:r>
        <w:rPr>
          <w:rFonts w:hint="eastAsia" w:ascii="仿宋" w:hAnsi="仿宋" w:eastAsia="仿宋" w:cs="仿宋"/>
        </w:rPr>
        <w:t>的主要原因是</w:t>
      </w:r>
      <w:bookmarkStart w:id="109" w:name="THERR_CZBK_GWYCGZ_FINAL_ACCOUNTS_MARK"/>
      <w:r>
        <w:rPr>
          <w:rFonts w:hint="eastAsia" w:ascii="仿宋" w:hAnsi="仿宋" w:eastAsia="仿宋" w:cs="仿宋"/>
          <w:lang w:eastAsia="zh-CN"/>
        </w:rPr>
        <w:t>新购置二台执法车辆</w:t>
      </w:r>
      <w:r>
        <w:rPr>
          <w:rFonts w:hint="eastAsia" w:ascii="仿宋" w:hAnsi="仿宋" w:eastAsia="仿宋" w:cs="仿宋"/>
        </w:rPr>
        <w:t>支出</w:t>
      </w:r>
      <w:bookmarkEnd w:id="109"/>
      <w:r>
        <w:rPr>
          <w:rFonts w:hint="eastAsia" w:ascii="仿宋" w:hAnsi="仿宋" w:eastAsia="仿宋" w:cs="仿宋"/>
        </w:rPr>
        <w:t>。</w:t>
      </w:r>
      <w:bookmarkEnd w:id="98"/>
      <w:bookmarkStart w:id="110" w:name="END_IS_ZERO_03_2"/>
      <w:bookmarkEnd w:id="110"/>
      <w:bookmarkStart w:id="111" w:name="START_IS_ZERO_03_2"/>
      <w:bookmarkEnd w:id="111"/>
      <w:bookmarkStart w:id="112" w:name="DIS_MARK_IS_ZERO_03_2"/>
      <w:bookmarkEnd w:id="112"/>
      <w:bookmarkStart w:id="113" w:name="END_IS_ZERO_03_1"/>
      <w:bookmarkEnd w:id="113"/>
    </w:p>
    <w:p>
      <w:pPr>
        <w:pStyle w:val="3"/>
        <w:tabs>
          <w:tab w:val="left" w:pos="3864"/>
          <w:tab w:val="left" w:pos="6248"/>
          <w:tab w:val="left" w:pos="7386"/>
        </w:tabs>
        <w:overflowPunct w:val="0"/>
        <w:spacing w:before="1" w:line="360" w:lineRule="auto"/>
        <w:ind w:left="420" w:leftChars="200" w:right="420" w:firstLine="659" w:firstLineChars="206"/>
        <w:rPr>
          <w:rFonts w:ascii="仿宋" w:hAnsi="仿宋" w:eastAsia="仿宋" w:cs="仿宋"/>
        </w:rPr>
      </w:pPr>
      <w:r>
        <w:rPr>
          <w:rFonts w:hint="eastAsia" w:ascii="仿宋" w:hAnsi="仿宋" w:eastAsia="仿宋" w:cs="仿宋"/>
        </w:rPr>
        <w:t>公务用车购置费支出预算为</w:t>
      </w:r>
      <w:r>
        <w:rPr>
          <w:rFonts w:hint="eastAsia" w:ascii="仿宋" w:hAnsi="仿宋" w:eastAsia="仿宋" w:cs="仿宋"/>
          <w:lang w:val="en-US" w:eastAsia="zh-CN"/>
        </w:rPr>
        <w:t>27.8</w:t>
      </w:r>
      <w:r>
        <w:rPr>
          <w:rFonts w:hint="eastAsia" w:ascii="仿宋" w:hAnsi="仿宋" w:eastAsia="仿宋" w:cs="仿宋"/>
        </w:rPr>
        <w:t>万元，支出决算为</w:t>
      </w:r>
      <w:r>
        <w:rPr>
          <w:rFonts w:hint="eastAsia" w:ascii="仿宋" w:hAnsi="仿宋" w:eastAsia="仿宋" w:cs="仿宋"/>
          <w:lang w:val="en-US" w:eastAsia="zh-CN"/>
        </w:rPr>
        <w:t>27.8</w:t>
      </w:r>
      <w:r>
        <w:rPr>
          <w:rFonts w:hint="eastAsia" w:ascii="仿宋" w:hAnsi="仿宋" w:eastAsia="仿宋" w:cs="仿宋"/>
        </w:rPr>
        <w:t>万元，</w:t>
      </w:r>
      <w:bookmarkStart w:id="114" w:name="START_THERR_CZBK_GWYC_FINAL_BGT_DB"/>
      <w:bookmarkEnd w:id="114"/>
      <w:bookmarkStart w:id="115" w:name="START_THERR_CZBK_GWYC_FINAL_BGT_D"/>
      <w:bookmarkEnd w:id="115"/>
      <w:bookmarkStart w:id="116" w:name="DIS_MARK_THERR_CZBK_GWYC_BGT_AMT"/>
      <w:bookmarkEnd w:id="116"/>
      <w:bookmarkStart w:id="117" w:name="DIS_MARK_THERR_CZBK_GWYC_FINAL_BGT_DB"/>
      <w:bookmarkEnd w:id="117"/>
      <w:bookmarkStart w:id="118" w:name="END_THERR_CZBK_GWYC_FINAL_BGT_DB"/>
      <w:bookmarkEnd w:id="118"/>
      <w:bookmarkStart w:id="119" w:name="START_THERR_CZBK_GWYC_BGT_AMT"/>
      <w:bookmarkEnd w:id="119"/>
      <w:bookmarkStart w:id="120" w:name="END_THERR_CZBK_GWYC_BGT_AMT"/>
      <w:bookmarkEnd w:id="120"/>
      <w:bookmarkStart w:id="121" w:name="DIS_MARK_THERR_CZBK_GWYC_FINAL_BGT_D"/>
      <w:r>
        <w:rPr>
          <w:rFonts w:hint="eastAsia" w:ascii="仿宋" w:hAnsi="仿宋" w:eastAsia="仿宋" w:cs="仿宋"/>
        </w:rPr>
        <w:t>与本年预算数相同，</w:t>
      </w:r>
      <w:bookmarkEnd w:id="121"/>
      <w:bookmarkStart w:id="122" w:name="DIS_MARK_IS_ZERO_14_1"/>
      <w:bookmarkEnd w:id="122"/>
      <w:bookmarkStart w:id="123" w:name="START_IS_ZERO_14_2"/>
      <w:bookmarkEnd w:id="123"/>
      <w:bookmarkStart w:id="124" w:name="END_THERR_CZBK_GWYC_FINAL_BGT_D"/>
      <w:bookmarkEnd w:id="124"/>
      <w:bookmarkStart w:id="125" w:name="START_IS_ZERO_14_1"/>
      <w:bookmarkEnd w:id="125"/>
      <w:bookmarkStart w:id="126" w:name="END_IS_ZERO_14_1"/>
      <w:bookmarkEnd w:id="126"/>
      <w:bookmarkStart w:id="127" w:name="IS_ZERO_14"/>
      <w:bookmarkEnd w:id="127"/>
      <w:bookmarkStart w:id="128" w:name="DIS_MARK_IS_ZERO_14_2"/>
      <w:r>
        <w:rPr>
          <w:rFonts w:hint="eastAsia" w:ascii="仿宋" w:hAnsi="仿宋" w:eastAsia="仿宋" w:cs="仿宋"/>
        </w:rPr>
        <w:t>与上年相比增加</w:t>
      </w:r>
      <w:r>
        <w:rPr>
          <w:rFonts w:hint="eastAsia" w:ascii="仿宋" w:hAnsi="仿宋" w:eastAsia="仿宋" w:cs="仿宋"/>
          <w:lang w:val="en-US" w:eastAsia="zh-CN"/>
        </w:rPr>
        <w:t>27.87</w:t>
      </w:r>
      <w:r>
        <w:rPr>
          <w:rFonts w:hint="eastAsia" w:ascii="仿宋" w:hAnsi="仿宋" w:eastAsia="仿宋" w:cs="仿宋"/>
        </w:rPr>
        <w:t>万元，上升</w:t>
      </w:r>
      <w:r>
        <w:rPr>
          <w:rFonts w:hint="eastAsia" w:ascii="仿宋" w:hAnsi="仿宋" w:eastAsia="仿宋" w:cs="仿宋"/>
          <w:lang w:val="en-US" w:eastAsia="zh-CN"/>
        </w:rPr>
        <w:t>100</w:t>
      </w:r>
      <w:r>
        <w:rPr>
          <w:rFonts w:hint="eastAsia" w:ascii="仿宋" w:hAnsi="仿宋" w:eastAsia="仿宋" w:cs="仿宋"/>
        </w:rPr>
        <w:t>%，增长的主要原因是</w:t>
      </w:r>
      <w:r>
        <w:rPr>
          <w:rFonts w:hint="eastAsia" w:ascii="仿宋" w:hAnsi="仿宋" w:eastAsia="仿宋" w:cs="仿宋"/>
          <w:lang w:eastAsia="zh-CN"/>
        </w:rPr>
        <w:t>新购置二台执法车辆</w:t>
      </w:r>
      <w:r>
        <w:rPr>
          <w:rFonts w:hint="eastAsia" w:ascii="仿宋" w:hAnsi="仿宋" w:eastAsia="仿宋" w:cs="仿宋"/>
        </w:rPr>
        <w:t>支出。。</w:t>
      </w:r>
      <w:bookmarkEnd w:id="128"/>
      <w:bookmarkStart w:id="129" w:name="END_IS_ZERO_14_2"/>
      <w:bookmarkEnd w:id="129"/>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公务用车运行维护费支出预算为</w:t>
      </w:r>
      <w:r>
        <w:rPr>
          <w:rFonts w:hint="eastAsia" w:ascii="仿宋" w:hAnsi="仿宋" w:eastAsia="仿宋" w:cs="仿宋"/>
          <w:lang w:val="en-US" w:eastAsia="zh-CN"/>
        </w:rPr>
        <w:t>5.89</w:t>
      </w:r>
      <w:r>
        <w:rPr>
          <w:rFonts w:hint="eastAsia" w:ascii="仿宋" w:hAnsi="仿宋" w:eastAsia="仿宋" w:cs="仿宋"/>
        </w:rPr>
        <w:t>万元，支出决算为</w:t>
      </w:r>
      <w:r>
        <w:rPr>
          <w:rFonts w:hint="eastAsia" w:ascii="仿宋" w:hAnsi="仿宋" w:eastAsia="仿宋" w:cs="仿宋"/>
          <w:lang w:val="en-US" w:eastAsia="zh-CN"/>
        </w:rPr>
        <w:t>5.89</w:t>
      </w:r>
      <w:r>
        <w:rPr>
          <w:rFonts w:hint="eastAsia" w:ascii="仿宋" w:hAnsi="仿宋" w:eastAsia="仿宋" w:cs="仿宋"/>
        </w:rPr>
        <w:t>万元，</w:t>
      </w:r>
      <w:bookmarkStart w:id="130" w:name="START_THERR_CZBK_GWYCYXWHF_BGT_AMT"/>
      <w:bookmarkEnd w:id="130"/>
      <w:bookmarkStart w:id="131" w:name="DIS_MARK_THERR_CZBK_GWYCYXWHF_BGT_AMT"/>
      <w:r>
        <w:rPr>
          <w:rFonts w:hint="eastAsia" w:ascii="仿宋" w:hAnsi="仿宋" w:eastAsia="仿宋" w:cs="仿宋"/>
        </w:rPr>
        <w:t>完成预算的</w:t>
      </w:r>
      <w:bookmarkStart w:id="132" w:name="THERR_CZBK_GWYCYXWHF_BGT_AMT_BL"/>
      <w:r>
        <w:rPr>
          <w:rFonts w:hint="eastAsia" w:ascii="仿宋" w:hAnsi="仿宋" w:eastAsia="仿宋" w:cs="仿宋"/>
        </w:rPr>
        <w:t>100.00</w:t>
      </w:r>
      <w:bookmarkEnd w:id="132"/>
      <w:r>
        <w:rPr>
          <w:rFonts w:hint="eastAsia" w:ascii="仿宋" w:hAnsi="仿宋" w:eastAsia="仿宋" w:cs="仿宋"/>
        </w:rPr>
        <w:t>%，</w:t>
      </w:r>
      <w:bookmarkEnd w:id="131"/>
      <w:bookmarkStart w:id="133" w:name="END_THERR_CZBK_GWYCYXWHF_BGT_AMT"/>
      <w:bookmarkEnd w:id="133"/>
      <w:bookmarkStart w:id="134" w:name="DIS_MARK_THERR_CZBK_GWYCYXWHF_FINAL_BGT_"/>
      <w:bookmarkEnd w:id="134"/>
      <w:bookmarkStart w:id="135" w:name="END_THERR_CZBK_GWYCYXWHF_FINAL_BGT_DB"/>
      <w:bookmarkEnd w:id="135"/>
      <w:bookmarkStart w:id="136" w:name="START_THERR_CZBK_GWYCYXWHF_FINAL_BGT_DB"/>
      <w:bookmarkEnd w:id="136"/>
      <w:bookmarkStart w:id="137" w:name="START_THERR_CZBK_GWYCYXWHF_FINAL_BGT_D"/>
      <w:bookmarkEnd w:id="137"/>
      <w:r>
        <w:rPr>
          <w:rFonts w:hint="eastAsia" w:ascii="仿宋" w:hAnsi="仿宋" w:eastAsia="仿宋" w:cs="仿宋"/>
        </w:rPr>
        <w:t>与本年预算数相同，</w:t>
      </w:r>
      <w:bookmarkStart w:id="138" w:name="END_THERR_CZBK_GWYCYXWHF_FINAL_BGT_D"/>
      <w:bookmarkEnd w:id="138"/>
      <w:bookmarkStart w:id="139" w:name="IS_ZERO_11"/>
      <w:bookmarkEnd w:id="139"/>
      <w:bookmarkStart w:id="140" w:name="START_IS_ZERO_11_1"/>
      <w:bookmarkEnd w:id="140"/>
      <w:bookmarkStart w:id="141" w:name="DIS_MARK_IS_ZERO_11_1"/>
      <w:r>
        <w:rPr>
          <w:rFonts w:hint="eastAsia" w:ascii="仿宋" w:hAnsi="仿宋" w:eastAsia="仿宋" w:cs="仿宋"/>
        </w:rPr>
        <w:t>与上年相比</w:t>
      </w:r>
      <w:bookmarkStart w:id="142" w:name="THERR_CZBK_GWYXF_FINAL_ACCOUNTS_AMT_BD"/>
      <w:r>
        <w:rPr>
          <w:rFonts w:hint="eastAsia" w:ascii="仿宋" w:hAnsi="仿宋" w:eastAsia="仿宋" w:cs="仿宋"/>
          <w:lang w:eastAsia="zh-CN"/>
        </w:rPr>
        <w:t>减少</w:t>
      </w:r>
      <w:bookmarkEnd w:id="142"/>
      <w:r>
        <w:rPr>
          <w:rFonts w:hint="eastAsia" w:ascii="仿宋" w:hAnsi="仿宋" w:eastAsia="仿宋" w:cs="仿宋"/>
          <w:lang w:val="en-US" w:eastAsia="zh-CN"/>
        </w:rPr>
        <w:t>0.33</w:t>
      </w:r>
      <w:r>
        <w:rPr>
          <w:rFonts w:hint="eastAsia" w:ascii="仿宋" w:hAnsi="仿宋" w:eastAsia="仿宋" w:cs="仿宋"/>
        </w:rPr>
        <w:t>万元，</w:t>
      </w:r>
      <w:bookmarkStart w:id="143" w:name="START_IS_ZERO_THERR_04_1"/>
      <w:bookmarkEnd w:id="143"/>
      <w:bookmarkStart w:id="144" w:name="IS_ZERO_THERR_04"/>
      <w:bookmarkEnd w:id="144"/>
      <w:bookmarkStart w:id="145" w:name="THERR_CZBK_GWYXF_FINAL_ACCOUNTS_AMT_BL"/>
      <w:bookmarkStart w:id="146" w:name="DIS_MARK_IS_ZERO_THERR_04_1"/>
      <w:r>
        <w:rPr>
          <w:rFonts w:hint="eastAsia" w:ascii="仿宋" w:hAnsi="仿宋" w:eastAsia="仿宋" w:cs="仿宋"/>
          <w:lang w:eastAsia="zh-CN"/>
        </w:rPr>
        <w:t>下降</w:t>
      </w:r>
      <w:bookmarkEnd w:id="145"/>
      <w:r>
        <w:rPr>
          <w:rFonts w:hint="eastAsia" w:ascii="仿宋" w:hAnsi="仿宋" w:eastAsia="仿宋" w:cs="仿宋"/>
          <w:lang w:val="en-US" w:eastAsia="zh-CN"/>
        </w:rPr>
        <w:t>0.53</w:t>
      </w:r>
      <w:r>
        <w:rPr>
          <w:rFonts w:hint="eastAsia" w:ascii="仿宋" w:hAnsi="仿宋" w:eastAsia="仿宋" w:cs="仿宋"/>
        </w:rPr>
        <w:t>%，</w:t>
      </w:r>
      <w:bookmarkEnd w:id="146"/>
      <w:bookmarkStart w:id="147" w:name="END_IS_ZERO_THERR_04_2"/>
      <w:bookmarkEnd w:id="147"/>
      <w:bookmarkStart w:id="148" w:name="START_IS_ZERO_THERR_04_2"/>
      <w:bookmarkEnd w:id="148"/>
      <w:bookmarkStart w:id="149" w:name="DIS_MARK_IS_ZERO_THERR_04_2"/>
      <w:bookmarkEnd w:id="149"/>
      <w:bookmarkStart w:id="150" w:name="END_IS_ZERO_THERR_04_1"/>
      <w:bookmarkEnd w:id="150"/>
      <w:bookmarkStart w:id="151" w:name="THERR_CZBK_GWYXF_FINAL_ACCOUNTS_AMT_DB"/>
      <w:r>
        <w:rPr>
          <w:rFonts w:hint="eastAsia" w:ascii="仿宋" w:hAnsi="仿宋" w:eastAsia="仿宋" w:cs="仿宋"/>
        </w:rPr>
        <w:t>增长</w:t>
      </w:r>
      <w:bookmarkEnd w:id="151"/>
      <w:r>
        <w:rPr>
          <w:rFonts w:hint="eastAsia" w:ascii="仿宋" w:hAnsi="仿宋" w:eastAsia="仿宋" w:cs="仿宋"/>
        </w:rPr>
        <w:t>的主要原因是</w:t>
      </w:r>
      <w:bookmarkStart w:id="152" w:name="THERR_CZBK_GWYXF_FINAL_ACCOUNTS_MARK"/>
      <w:r>
        <w:rPr>
          <w:rFonts w:hint="eastAsia" w:ascii="仿宋" w:hAnsi="仿宋" w:eastAsia="仿宋" w:cs="仿宋"/>
        </w:rPr>
        <w:t>正常支出</w:t>
      </w:r>
      <w:bookmarkEnd w:id="152"/>
      <w:r>
        <w:rPr>
          <w:rFonts w:hint="eastAsia" w:ascii="仿宋" w:hAnsi="仿宋" w:eastAsia="仿宋" w:cs="仿宋"/>
        </w:rPr>
        <w:t>。</w:t>
      </w:r>
      <w:bookmarkEnd w:id="141"/>
      <w:bookmarkStart w:id="153" w:name="END_IS_ZERO_11_1"/>
      <w:bookmarkEnd w:id="153"/>
      <w:bookmarkStart w:id="154" w:name="START_IS_ZERO_11_2"/>
      <w:bookmarkEnd w:id="154"/>
      <w:bookmarkStart w:id="155" w:name="DIS_MARK_IS_ZERO_11_2"/>
      <w:bookmarkEnd w:id="155"/>
      <w:bookmarkStart w:id="156" w:name="END_IS_ZERO_11_2"/>
      <w:bookmarkEnd w:id="156"/>
    </w:p>
    <w:p>
      <w:pPr>
        <w:pStyle w:val="3"/>
        <w:tabs>
          <w:tab w:val="left" w:pos="3864"/>
          <w:tab w:val="left" w:pos="6248"/>
          <w:tab w:val="left" w:pos="7386"/>
        </w:tabs>
        <w:overflowPunct w:val="0"/>
        <w:spacing w:before="1" w:line="360" w:lineRule="auto"/>
        <w:ind w:left="420" w:leftChars="200" w:right="420" w:firstLine="659" w:firstLineChars="206"/>
        <w:rPr>
          <w:rFonts w:hint="eastAsia" w:ascii="楷体" w:hAnsi="楷体" w:eastAsia="楷体" w:cs="楷体"/>
          <w:b/>
          <w:bCs w:val="0"/>
          <w:color w:val="000000"/>
          <w:kern w:val="0"/>
          <w:sz w:val="32"/>
          <w:szCs w:val="32"/>
          <w:lang w:val="en-US" w:eastAsia="zh-CN" w:bidi="ar-SA"/>
        </w:rPr>
      </w:pPr>
      <w:r>
        <w:rPr>
          <w:rFonts w:hint="eastAsia" w:ascii="楷体" w:hAnsi="楷体" w:eastAsia="楷体" w:cs="楷体"/>
          <w:b/>
          <w:bCs w:val="0"/>
          <w:color w:val="000000"/>
          <w:kern w:val="0"/>
          <w:sz w:val="32"/>
          <w:szCs w:val="32"/>
          <w:lang w:val="en-US" w:eastAsia="zh-CN" w:bidi="ar-SA"/>
        </w:rPr>
        <w:t>（二）“三公”经费财政拨款支出决算具体情况说明</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年度“三公”经费财政拨款支出决算中，公务接待费支出决算</w:t>
      </w:r>
      <w:r>
        <w:rPr>
          <w:rFonts w:hint="eastAsia" w:ascii="仿宋" w:hAnsi="仿宋" w:eastAsia="仿宋" w:cs="仿宋"/>
          <w:color w:val="000000"/>
          <w:shd w:val="clear" w:color="auto" w:fill="FFFFFF"/>
          <w:lang w:val="en-US" w:eastAsia="zh-CN"/>
        </w:rPr>
        <w:t>0.78</w:t>
      </w:r>
      <w:r>
        <w:rPr>
          <w:rFonts w:hint="eastAsia" w:ascii="仿宋" w:hAnsi="仿宋" w:eastAsia="仿宋" w:cs="仿宋"/>
        </w:rPr>
        <w:t>万元，占</w:t>
      </w:r>
      <w:r>
        <w:rPr>
          <w:rFonts w:hint="eastAsia" w:ascii="仿宋" w:hAnsi="仿宋" w:eastAsia="仿宋" w:cs="仿宋"/>
          <w:color w:val="000000"/>
          <w:shd w:val="clear" w:color="auto" w:fill="FFFFFF"/>
          <w:lang w:val="en-US" w:eastAsia="zh-CN"/>
        </w:rPr>
        <w:t>0.22</w:t>
      </w:r>
      <w:r>
        <w:rPr>
          <w:rFonts w:hint="eastAsia" w:ascii="仿宋" w:hAnsi="仿宋" w:eastAsia="仿宋" w:cs="仿宋"/>
        </w:rPr>
        <w:t>%，因公出国（境）费支出决算</w:t>
      </w:r>
      <w:bookmarkStart w:id="157" w:name="THERR_30212_AMT"/>
      <w:r>
        <w:rPr>
          <w:rFonts w:hint="eastAsia" w:ascii="仿宋" w:hAnsi="仿宋" w:eastAsia="仿宋" w:cs="仿宋"/>
        </w:rPr>
        <w:t>0.00</w:t>
      </w:r>
      <w:bookmarkEnd w:id="157"/>
      <w:r>
        <w:rPr>
          <w:rFonts w:hint="eastAsia" w:ascii="仿宋" w:hAnsi="仿宋" w:eastAsia="仿宋" w:cs="仿宋"/>
        </w:rPr>
        <w:t>万元，占</w:t>
      </w:r>
      <w:bookmarkStart w:id="158" w:name="THERR_30212_AMT_BL"/>
      <w:r>
        <w:rPr>
          <w:rFonts w:hint="eastAsia" w:ascii="仿宋" w:hAnsi="仿宋" w:eastAsia="仿宋" w:cs="仿宋"/>
        </w:rPr>
        <w:t>0.00</w:t>
      </w:r>
      <w:bookmarkEnd w:id="158"/>
      <w:r>
        <w:rPr>
          <w:rFonts w:hint="eastAsia" w:ascii="仿宋" w:hAnsi="仿宋" w:eastAsia="仿宋" w:cs="仿宋"/>
        </w:rPr>
        <w:t>%，公务用车购置费及运行维护费支出决算</w:t>
      </w:r>
      <w:r>
        <w:rPr>
          <w:rFonts w:hint="eastAsia" w:ascii="仿宋" w:hAnsi="仿宋" w:eastAsia="仿宋" w:cs="仿宋"/>
          <w:lang w:val="en-US" w:eastAsia="zh-CN"/>
        </w:rPr>
        <w:t>33.69</w:t>
      </w:r>
      <w:r>
        <w:rPr>
          <w:rFonts w:hint="eastAsia" w:ascii="仿宋" w:hAnsi="仿宋" w:eastAsia="仿宋" w:cs="仿宋"/>
        </w:rPr>
        <w:t>万元，占</w:t>
      </w:r>
      <w:r>
        <w:rPr>
          <w:rFonts w:hint="eastAsia" w:ascii="仿宋" w:hAnsi="仿宋" w:eastAsia="仿宋" w:cs="仿宋"/>
          <w:lang w:val="en-US" w:eastAsia="zh-CN"/>
        </w:rPr>
        <w:t>99.78</w:t>
      </w:r>
      <w:r>
        <w:rPr>
          <w:rFonts w:hint="eastAsia" w:ascii="仿宋" w:hAnsi="仿宋" w:eastAsia="仿宋" w:cs="仿宋"/>
        </w:rPr>
        <w:t>%。具体情况如下：</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1、因公出国（境）费支出决算为</w:t>
      </w:r>
      <w:bookmarkStart w:id="159" w:name="THERR_YGCGJFY_AMT"/>
      <w:r>
        <w:rPr>
          <w:rFonts w:hint="eastAsia" w:ascii="仿宋" w:hAnsi="仿宋" w:eastAsia="仿宋" w:cs="仿宋"/>
        </w:rPr>
        <w:t>0.00</w:t>
      </w:r>
      <w:bookmarkEnd w:id="159"/>
      <w:r>
        <w:rPr>
          <w:rFonts w:hint="eastAsia" w:ascii="仿宋" w:hAnsi="仿宋" w:eastAsia="仿宋" w:cs="仿宋"/>
        </w:rPr>
        <w:t>万元</w:t>
      </w:r>
      <w:bookmarkStart w:id="160" w:name="DIS_MARK_THERR_YGCGJFY_AMT"/>
      <w:bookmarkEnd w:id="160"/>
      <w:bookmarkStart w:id="161" w:name="THERR_YGCGJFY_ZYYY"/>
      <w:bookmarkEnd w:id="161"/>
      <w:bookmarkStart w:id="162" w:name="START_THERR_YGCGJFY_AMT"/>
      <w:bookmarkEnd w:id="162"/>
      <w:bookmarkStart w:id="163" w:name="END_THERR_YGCGJFY_AMT"/>
      <w:bookmarkEnd w:id="163"/>
      <w:r>
        <w:rPr>
          <w:rFonts w:hint="eastAsia" w:ascii="仿宋" w:hAnsi="仿宋" w:eastAsia="仿宋" w:cs="仿宋"/>
        </w:rPr>
        <w:t>。</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2、公务接待费支出决算为</w:t>
      </w:r>
      <w:r>
        <w:rPr>
          <w:rFonts w:hint="eastAsia" w:ascii="仿宋" w:hAnsi="仿宋" w:eastAsia="仿宋" w:cs="仿宋"/>
          <w:lang w:val="en-US" w:eastAsia="zh-CN"/>
        </w:rPr>
        <w:t>0.78</w:t>
      </w:r>
      <w:r>
        <w:rPr>
          <w:rFonts w:hint="eastAsia" w:ascii="仿宋" w:hAnsi="仿宋" w:eastAsia="仿宋" w:cs="仿宋"/>
        </w:rPr>
        <w:t>万元</w:t>
      </w:r>
      <w:bookmarkStart w:id="164" w:name="START_THERR_GWJDF_AMT"/>
      <w:bookmarkEnd w:id="164"/>
      <w:bookmarkStart w:id="165" w:name="DIS_MARK_THERR_GWJDF_AMT"/>
      <w:r>
        <w:rPr>
          <w:rFonts w:hint="eastAsia" w:ascii="仿宋" w:hAnsi="仿宋" w:eastAsia="仿宋" w:cs="仿宋"/>
        </w:rPr>
        <w:t>，全年共接待来访团组</w:t>
      </w:r>
      <w:r>
        <w:rPr>
          <w:rFonts w:hint="eastAsia" w:ascii="仿宋" w:hAnsi="仿宋" w:eastAsia="仿宋" w:cs="仿宋"/>
          <w:lang w:val="en-US" w:eastAsia="zh-CN"/>
        </w:rPr>
        <w:t>6</w:t>
      </w:r>
      <w:r>
        <w:rPr>
          <w:rFonts w:hint="eastAsia" w:ascii="仿宋" w:hAnsi="仿宋" w:eastAsia="仿宋" w:cs="仿宋"/>
        </w:rPr>
        <w:t>个，来宾</w:t>
      </w:r>
      <w:r>
        <w:rPr>
          <w:rFonts w:hint="eastAsia" w:ascii="仿宋" w:hAnsi="仿宋" w:eastAsia="仿宋" w:cs="仿宋"/>
          <w:lang w:val="en-US" w:eastAsia="zh-CN"/>
        </w:rPr>
        <w:t>58</w:t>
      </w:r>
      <w:r>
        <w:rPr>
          <w:rFonts w:hint="eastAsia" w:ascii="仿宋" w:hAnsi="仿宋" w:eastAsia="仿宋" w:cs="仿宋"/>
        </w:rPr>
        <w:t>人次，主要是</w:t>
      </w:r>
      <w:bookmarkStart w:id="166" w:name="THERR_GWJDF_AMT_ZYYY"/>
      <w:r>
        <w:rPr>
          <w:rFonts w:hint="eastAsia" w:ascii="仿宋" w:hAnsi="仿宋" w:eastAsia="仿宋" w:cs="仿宋"/>
        </w:rPr>
        <w:t>接待周边县市城市管理和综合执法局学习等</w:t>
      </w:r>
      <w:bookmarkEnd w:id="165"/>
      <w:bookmarkEnd w:id="166"/>
      <w:bookmarkStart w:id="167" w:name="END_THERR_GWJDF_AMT"/>
      <w:bookmarkEnd w:id="167"/>
      <w:r>
        <w:rPr>
          <w:rFonts w:hint="eastAsia" w:ascii="仿宋" w:hAnsi="仿宋" w:eastAsia="仿宋" w:cs="仿宋"/>
        </w:rPr>
        <w:t>。</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3、公务用车购置费及运行维护费支出决算为</w:t>
      </w:r>
      <w:r>
        <w:rPr>
          <w:rFonts w:hint="eastAsia" w:ascii="仿宋" w:hAnsi="仿宋" w:eastAsia="仿宋" w:cs="仿宋"/>
          <w:lang w:val="en-US" w:eastAsia="zh-CN"/>
        </w:rPr>
        <w:t>33.69</w:t>
      </w:r>
      <w:r>
        <w:rPr>
          <w:rFonts w:hint="eastAsia" w:ascii="仿宋" w:hAnsi="仿宋" w:eastAsia="仿宋" w:cs="仿宋"/>
        </w:rPr>
        <w:t>万元</w:t>
      </w:r>
      <w:bookmarkStart w:id="168" w:name="START_THERR_GWYCGZJYXWHF_AMT"/>
      <w:bookmarkEnd w:id="168"/>
      <w:bookmarkStart w:id="169" w:name="DIS_MARK_THERR_GWYCGZJYXWHF_AMT"/>
      <w:r>
        <w:rPr>
          <w:rFonts w:hint="eastAsia" w:ascii="仿宋" w:hAnsi="仿宋" w:eastAsia="仿宋" w:cs="仿宋"/>
        </w:rPr>
        <w:t>，其中：公务用车购置费</w:t>
      </w:r>
      <w:r>
        <w:rPr>
          <w:rFonts w:hint="eastAsia" w:ascii="仿宋" w:hAnsi="仿宋" w:eastAsia="仿宋" w:cs="仿宋"/>
          <w:lang w:val="en-US" w:eastAsia="zh-CN"/>
        </w:rPr>
        <w:t>27.8</w:t>
      </w:r>
      <w:r>
        <w:rPr>
          <w:rFonts w:hint="eastAsia" w:ascii="仿宋" w:hAnsi="仿宋" w:eastAsia="仿宋" w:cs="仿宋"/>
        </w:rPr>
        <w:t>万元，</w:t>
      </w:r>
      <w:bookmarkStart w:id="170" w:name="AGENCY_NAME_TITLE2"/>
      <w:r>
        <w:rPr>
          <w:rFonts w:hint="eastAsia" w:ascii="仿宋" w:hAnsi="仿宋" w:eastAsia="仿宋" w:cs="仿宋"/>
          <w:lang w:val="en-US" w:eastAsia="zh-CN"/>
        </w:rPr>
        <w:t>沅江市城市管理和综合执法局</w:t>
      </w:r>
      <w:bookmarkEnd w:id="170"/>
      <w:r>
        <w:rPr>
          <w:rFonts w:hint="eastAsia" w:ascii="仿宋" w:hAnsi="仿宋" w:eastAsia="仿宋" w:cs="仿宋"/>
          <w:lang w:val="en-US" w:eastAsia="zh-CN"/>
        </w:rPr>
        <w:t>更新公务用车2</w:t>
      </w:r>
      <w:r>
        <w:rPr>
          <w:rFonts w:hint="eastAsia" w:ascii="仿宋" w:hAnsi="仿宋" w:eastAsia="仿宋" w:cs="仿宋"/>
        </w:rPr>
        <w:t>辆。公务用车运行维护费</w:t>
      </w:r>
      <w:r>
        <w:rPr>
          <w:rFonts w:hint="eastAsia" w:ascii="仿宋" w:hAnsi="仿宋" w:eastAsia="仿宋" w:cs="仿宋"/>
          <w:color w:val="000000"/>
          <w:shd w:val="clear" w:color="auto" w:fill="FFFFFF"/>
          <w:lang w:val="en-US" w:eastAsia="zh-CN"/>
        </w:rPr>
        <w:t>5.89</w:t>
      </w:r>
      <w:r>
        <w:rPr>
          <w:rFonts w:hint="eastAsia" w:ascii="仿宋" w:hAnsi="仿宋" w:eastAsia="仿宋" w:cs="仿宋"/>
        </w:rPr>
        <w:t>万元，主要是</w:t>
      </w:r>
      <w:bookmarkStart w:id="171" w:name="THERR_GWYCGZJYXWHF_ZYYY"/>
      <w:r>
        <w:rPr>
          <w:rFonts w:hint="eastAsia" w:ascii="仿宋" w:hAnsi="仿宋" w:eastAsia="仿宋" w:cs="仿宋"/>
        </w:rPr>
        <w:t>正常支出</w:t>
      </w:r>
      <w:bookmarkEnd w:id="171"/>
      <w:r>
        <w:rPr>
          <w:rFonts w:hint="eastAsia" w:ascii="仿宋" w:hAnsi="仿宋" w:eastAsia="仿宋" w:cs="仿宋"/>
        </w:rPr>
        <w:t>，截止</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年12月31日，我单位开支财政拨款的公务用车保有量为</w:t>
      </w:r>
      <w:r>
        <w:rPr>
          <w:rFonts w:hint="eastAsia" w:ascii="仿宋" w:hAnsi="仿宋" w:eastAsia="仿宋" w:cs="仿宋"/>
          <w:lang w:val="en-US" w:eastAsia="zh-CN"/>
        </w:rPr>
        <w:t>3</w:t>
      </w:r>
      <w:r>
        <w:rPr>
          <w:rFonts w:hint="eastAsia" w:ascii="仿宋" w:hAnsi="仿宋" w:eastAsia="仿宋" w:cs="仿宋"/>
        </w:rPr>
        <w:t>辆</w:t>
      </w:r>
      <w:bookmarkEnd w:id="169"/>
      <w:bookmarkStart w:id="172" w:name="END_THERR_GWYCGZJYXWHF_AMT"/>
      <w:bookmarkEnd w:id="172"/>
      <w:r>
        <w:rPr>
          <w:rFonts w:hint="eastAsia" w:ascii="仿宋" w:hAnsi="仿宋" w:eastAsia="仿宋" w:cs="仿宋"/>
        </w:rPr>
        <w:t>。</w:t>
      </w:r>
    </w:p>
    <w:p>
      <w:pPr>
        <w:pStyle w:val="12"/>
        <w:keepNext w:val="0"/>
        <w:keepLines w:val="0"/>
        <w:pageBreakBefore w:val="0"/>
        <w:widowControl w:val="0"/>
        <w:kinsoku/>
        <w:wordWrap/>
        <w:overflowPunct/>
        <w:topLinePunct w:val="0"/>
        <w:bidi w:val="0"/>
        <w:snapToGrid/>
        <w:spacing w:line="600" w:lineRule="exact"/>
        <w:ind w:firstLine="1280" w:firstLineChars="4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3"/>
        <w:tabs>
          <w:tab w:val="left" w:pos="3864"/>
          <w:tab w:val="left" w:pos="6248"/>
          <w:tab w:val="left" w:pos="7386"/>
        </w:tabs>
        <w:overflowPunct w:val="0"/>
        <w:spacing w:before="1" w:line="360" w:lineRule="auto"/>
        <w:ind w:right="420" w:firstLine="1280" w:firstLineChars="400"/>
        <w:rPr>
          <w:rFonts w:hint="eastAsia" w:ascii="仿宋" w:hAnsi="仿宋" w:eastAsia="仿宋" w:cs="仿宋_GB2312"/>
          <w:color w:val="000000"/>
          <w:shd w:val="clear" w:color="auto" w:fill="FFFFFF"/>
        </w:rPr>
      </w:pPr>
      <w:bookmarkStart w:id="173" w:name="DIS_MARK_PAY_ZFXJJZC_AMT"/>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年度政府性基金预算财政拨款收入</w:t>
      </w:r>
      <w:r>
        <w:rPr>
          <w:rFonts w:hint="eastAsia" w:ascii="仿宋" w:hAnsi="仿宋" w:eastAsia="仿宋" w:cs="仿宋"/>
          <w:color w:val="000000"/>
          <w:shd w:val="clear" w:color="auto" w:fill="FFFFFF"/>
          <w:lang w:val="en-US" w:eastAsia="zh-CN"/>
        </w:rPr>
        <w:t>684.91</w:t>
      </w:r>
      <w:r>
        <w:rPr>
          <w:rFonts w:hint="eastAsia" w:ascii="仿宋" w:hAnsi="仿宋" w:eastAsia="仿宋" w:cs="仿宋"/>
        </w:rPr>
        <w:t>万元；年初结转和结余</w:t>
      </w:r>
      <w:r>
        <w:rPr>
          <w:rFonts w:hint="eastAsia" w:ascii="仿宋" w:hAnsi="仿宋" w:eastAsia="仿宋" w:cs="仿宋"/>
          <w:lang w:val="en-US" w:eastAsia="zh-CN"/>
        </w:rPr>
        <w:t>111.44</w:t>
      </w:r>
      <w:r>
        <w:rPr>
          <w:rFonts w:hint="eastAsia" w:ascii="仿宋" w:hAnsi="仿宋" w:eastAsia="仿宋" w:cs="仿宋"/>
        </w:rPr>
        <w:t>万元；支出</w:t>
      </w:r>
      <w:r>
        <w:rPr>
          <w:rFonts w:hint="eastAsia" w:ascii="仿宋" w:hAnsi="仿宋" w:eastAsia="仿宋" w:cs="仿宋"/>
          <w:color w:val="000000"/>
          <w:shd w:val="clear" w:color="auto" w:fill="FFFFFF"/>
          <w:lang w:val="en-US" w:eastAsia="zh-CN"/>
        </w:rPr>
        <w:t>796.35</w:t>
      </w:r>
      <w:r>
        <w:rPr>
          <w:rFonts w:hint="eastAsia" w:ascii="仿宋" w:hAnsi="仿宋" w:eastAsia="仿宋" w:cs="仿宋"/>
        </w:rPr>
        <w:t>万元，其中:基本支出</w:t>
      </w:r>
      <w:bookmarkStart w:id="174" w:name="PAY_ZFXJJZC_JBZC_AMT"/>
      <w:r>
        <w:rPr>
          <w:rFonts w:hint="eastAsia" w:ascii="仿宋" w:hAnsi="仿宋" w:eastAsia="仿宋" w:cs="仿宋"/>
        </w:rPr>
        <w:t>0.00</w:t>
      </w:r>
      <w:bookmarkEnd w:id="174"/>
      <w:r>
        <w:rPr>
          <w:rFonts w:hint="eastAsia" w:ascii="仿宋" w:hAnsi="仿宋" w:eastAsia="仿宋" w:cs="仿宋"/>
        </w:rPr>
        <w:t>万元，项目支出</w:t>
      </w:r>
      <w:r>
        <w:rPr>
          <w:rFonts w:hint="eastAsia" w:ascii="仿宋" w:hAnsi="仿宋" w:eastAsia="仿宋" w:cs="仿宋"/>
          <w:lang w:val="en-US" w:eastAsia="zh-CN"/>
        </w:rPr>
        <w:t>796.35</w:t>
      </w:r>
      <w:r>
        <w:rPr>
          <w:rFonts w:hint="eastAsia" w:ascii="仿宋" w:hAnsi="仿宋" w:eastAsia="仿宋" w:cs="仿宋"/>
        </w:rPr>
        <w:t>万元；年末结转和结余</w:t>
      </w:r>
      <w:bookmarkStart w:id="175" w:name="PAY_ZFXJJZC_JZJY_AMT"/>
      <w:r>
        <w:rPr>
          <w:rFonts w:hint="eastAsia" w:ascii="仿宋" w:hAnsi="仿宋" w:eastAsia="仿宋" w:cs="仿宋"/>
        </w:rPr>
        <w:t>0.00</w:t>
      </w:r>
      <w:bookmarkEnd w:id="175"/>
      <w:r>
        <w:rPr>
          <w:rFonts w:hint="eastAsia" w:ascii="仿宋" w:hAnsi="仿宋" w:eastAsia="仿宋" w:cs="仿宋"/>
        </w:rPr>
        <w:t>万元。</w:t>
      </w:r>
      <w:r>
        <w:rPr>
          <w:rFonts w:hint="eastAsia" w:ascii="仿宋" w:hAnsi="仿宋" w:eastAsia="仿宋" w:cs="仿宋"/>
          <w:lang w:val="en-US" w:eastAsia="zh-CN"/>
        </w:rPr>
        <w:t>具体情况如下：</w:t>
      </w:r>
      <w:bookmarkEnd w:id="173"/>
      <w:bookmarkStart w:id="176" w:name="END_PAY_ZFXJJZC_AMT"/>
      <w:bookmarkEnd w:id="176"/>
      <w:bookmarkStart w:id="177" w:name="START_PAY_ZFXJJZC"/>
      <w:bookmarkEnd w:id="177"/>
      <w:bookmarkStart w:id="178" w:name="DIS_MARK_PAY_ZFXJJZC"/>
      <w:bookmarkEnd w:id="178"/>
      <w:bookmarkStart w:id="179" w:name="END_PAY_ZFXJJZC"/>
      <w:bookmarkEnd w:id="179"/>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_GB2312"/>
          <w:color w:val="000000"/>
          <w:shd w:val="clear" w:color="auto" w:fill="FFFFFF"/>
        </w:rPr>
      </w:pPr>
      <w:bookmarkStart w:id="180" w:name="LKX_JJ"/>
      <w:r>
        <w:rPr>
          <w:rFonts w:hint="eastAsia" w:ascii="仿宋" w:hAnsi="仿宋" w:eastAsia="仿宋" w:cs="仿宋"/>
          <w:sz w:val="32"/>
          <w:szCs w:val="32"/>
          <w:lang w:val="en-US" w:eastAsia="zh-CN"/>
        </w:rPr>
        <w:t>1、城乡社区支出（类）国有土地使用权出让收入安排的支出（款）城市建设支出（项）。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lang w:val="en-US" w:eastAsia="zh-CN"/>
        </w:rPr>
      </w:pPr>
      <w:r>
        <w:rPr>
          <w:rFonts w:hint="eastAsia" w:ascii="仿宋" w:hAnsi="仿宋" w:eastAsia="仿宋" w:cs="仿宋"/>
          <w:sz w:val="32"/>
          <w:szCs w:val="32"/>
          <w:lang w:val="en-US" w:eastAsia="zh-CN"/>
        </w:rPr>
        <w:t>年初预算为464.23万元，支出决算为464.23万元，完成年初预算的100%。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lang w:val="en-US" w:eastAsia="zh-CN"/>
        </w:rPr>
      </w:pPr>
      <w:r>
        <w:rPr>
          <w:rFonts w:hint="eastAsia" w:ascii="仿宋" w:hAnsi="仿宋" w:eastAsia="仿宋" w:cs="仿宋"/>
          <w:sz w:val="32"/>
          <w:szCs w:val="32"/>
          <w:lang w:val="en-US" w:eastAsia="zh-CN"/>
        </w:rPr>
        <w:t>2、其他支出（类）其他政府性基金及对应专项债务收入安排的支出（款）其他政府性基金安排的支出（项）。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lang w:val="en-US" w:eastAsia="zh-CN"/>
        </w:rPr>
      </w:pPr>
      <w:r>
        <w:rPr>
          <w:rFonts w:hint="eastAsia" w:ascii="仿宋" w:hAnsi="仿宋" w:eastAsia="仿宋" w:cs="仿宋"/>
          <w:sz w:val="32"/>
          <w:szCs w:val="32"/>
          <w:lang w:val="en-US" w:eastAsia="zh-CN"/>
        </w:rPr>
        <w:t>年初预算为220.68万元，支出决算为220.68万元，完成年初预算的100%。</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lang w:val="en-US" w:eastAsia="zh-CN"/>
        </w:rPr>
      </w:pPr>
      <w:r>
        <w:rPr>
          <w:rFonts w:hint="eastAsia" w:ascii="仿宋" w:hAnsi="仿宋" w:eastAsia="仿宋" w:cs="仿宋"/>
          <w:sz w:val="32"/>
          <w:szCs w:val="32"/>
          <w:lang w:val="en-US" w:eastAsia="zh-CN"/>
        </w:rPr>
        <w:t>3、抗疫特别国债安排的支出（类）基础设施建设（款）生态环境治理（项）。</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lang w:val="en-US" w:eastAsia="zh-CN"/>
        </w:rPr>
      </w:pPr>
      <w:r>
        <w:rPr>
          <w:rFonts w:hint="eastAsia" w:ascii="仿宋" w:hAnsi="仿宋" w:eastAsia="仿宋" w:cs="仿宋"/>
          <w:sz w:val="32"/>
          <w:szCs w:val="32"/>
          <w:lang w:val="en-US" w:eastAsia="zh-CN"/>
        </w:rPr>
        <w:t>年初预算为111.44万元，支出决算为111.44万元，完成年初预算的100%。</w:t>
      </w:r>
      <w:bookmarkEnd w:id="180"/>
    </w:p>
    <w:p>
      <w:pPr>
        <w:pStyle w:val="12"/>
        <w:keepNext w:val="0"/>
        <w:keepLines w:val="0"/>
        <w:pageBreakBefore w:val="0"/>
        <w:widowControl w:val="0"/>
        <w:kinsoku/>
        <w:wordWrap/>
        <w:overflowPunct/>
        <w:topLinePunct w:val="0"/>
        <w:bidi w:val="0"/>
        <w:snapToGrid/>
        <w:spacing w:line="600" w:lineRule="exact"/>
        <w:ind w:firstLine="1280" w:firstLineChars="4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3"/>
        <w:tabs>
          <w:tab w:val="left" w:pos="3864"/>
          <w:tab w:val="left" w:pos="6248"/>
          <w:tab w:val="left" w:pos="7386"/>
        </w:tabs>
        <w:overflowPunct w:val="0"/>
        <w:spacing w:before="1" w:line="360" w:lineRule="auto"/>
        <w:ind w:left="420" w:leftChars="200" w:right="420" w:firstLine="659" w:firstLineChars="206"/>
        <w:rPr>
          <w:rFonts w:ascii="Times New Roman" w:hAnsi="Times New Roman" w:eastAsia="仿宋_GB2312"/>
          <w:sz w:val="32"/>
          <w:szCs w:val="32"/>
        </w:rPr>
      </w:pPr>
      <w:bookmarkStart w:id="181" w:name="DIS_MARK_DIV"/>
      <w:r>
        <w:rPr>
          <w:rFonts w:hint="eastAsia" w:ascii="仿宋" w:hAnsi="仿宋" w:eastAsia="仿宋" w:cs="仿宋"/>
        </w:rPr>
        <w:t>本单位</w:t>
      </w:r>
      <w:r>
        <w:rPr>
          <w:rFonts w:hint="eastAsia" w:ascii="仿宋" w:hAnsi="仿宋" w:eastAsia="仿宋" w:cs="仿宋"/>
          <w:lang w:eastAsia="zh-CN"/>
        </w:rPr>
        <w:t>2021</w:t>
      </w:r>
      <w:r>
        <w:rPr>
          <w:rFonts w:hint="eastAsia" w:ascii="仿宋" w:hAnsi="仿宋" w:eastAsia="仿宋" w:cs="仿宋"/>
        </w:rPr>
        <w:t>年</w:t>
      </w:r>
      <w:bookmarkEnd w:id="181"/>
      <w:bookmarkStart w:id="182" w:name="END_DIV"/>
      <w:bookmarkEnd w:id="182"/>
      <w:r>
        <w:rPr>
          <w:rFonts w:hint="eastAsia" w:ascii="仿宋" w:hAnsi="仿宋" w:eastAsia="仿宋" w:cs="仿宋"/>
        </w:rPr>
        <w:t>机关运行经费支出</w:t>
      </w:r>
      <w:r>
        <w:rPr>
          <w:rFonts w:hint="eastAsia" w:ascii="仿宋" w:hAnsi="仿宋" w:eastAsia="仿宋" w:cs="仿宋"/>
          <w:lang w:val="en-US" w:eastAsia="zh-CN"/>
        </w:rPr>
        <w:t>32.5</w:t>
      </w:r>
      <w:r>
        <w:rPr>
          <w:rFonts w:hint="eastAsia" w:ascii="仿宋" w:hAnsi="仿宋" w:eastAsia="仿宋" w:cs="仿宋"/>
        </w:rPr>
        <w:t>万元</w:t>
      </w:r>
      <w:bookmarkStart w:id="183" w:name="START_JGYXJF_FUNDS_AMT"/>
      <w:bookmarkEnd w:id="183"/>
      <w:bookmarkStart w:id="184" w:name="DIS_MARK_JGYXJF_FUNDS_AMT"/>
      <w:r>
        <w:rPr>
          <w:rFonts w:hint="eastAsia" w:ascii="仿宋" w:hAnsi="仿宋" w:eastAsia="仿宋" w:cs="仿宋"/>
        </w:rPr>
        <w:t>，年初预算数</w:t>
      </w:r>
      <w:r>
        <w:rPr>
          <w:rFonts w:hint="eastAsia" w:ascii="仿宋" w:hAnsi="仿宋" w:eastAsia="仿宋" w:cs="仿宋"/>
          <w:lang w:val="en-US" w:eastAsia="zh-CN"/>
        </w:rPr>
        <w:t>20</w:t>
      </w:r>
      <w:r>
        <w:rPr>
          <w:rFonts w:hint="eastAsia" w:ascii="仿宋" w:hAnsi="仿宋" w:eastAsia="仿宋" w:cs="仿宋"/>
        </w:rPr>
        <w:t>万元，</w:t>
      </w:r>
      <w:bookmarkStart w:id="185" w:name="JGYXJF_BD_REMAK"/>
      <w:r>
        <w:rPr>
          <w:rFonts w:hint="eastAsia" w:ascii="仿宋" w:hAnsi="仿宋" w:eastAsia="仿宋" w:cs="仿宋"/>
        </w:rPr>
        <w:t>比年初预算增加</w:t>
      </w:r>
      <w:r>
        <w:rPr>
          <w:rFonts w:hint="eastAsia" w:ascii="仿宋" w:hAnsi="仿宋" w:eastAsia="仿宋" w:cs="仿宋"/>
          <w:lang w:val="en-US" w:eastAsia="zh-CN"/>
        </w:rPr>
        <w:t>12.5</w:t>
      </w:r>
      <w:r>
        <w:rPr>
          <w:rFonts w:hint="eastAsia" w:ascii="仿宋" w:hAnsi="仿宋" w:eastAsia="仿宋" w:cs="仿宋"/>
        </w:rPr>
        <w:t>万元，增加</w:t>
      </w:r>
      <w:r>
        <w:rPr>
          <w:rFonts w:hint="eastAsia" w:ascii="仿宋" w:hAnsi="仿宋" w:eastAsia="仿宋" w:cs="仿宋"/>
          <w:lang w:val="en-US" w:eastAsia="zh-CN"/>
        </w:rPr>
        <w:t>36.01</w:t>
      </w:r>
      <w:r>
        <w:rPr>
          <w:rFonts w:hint="eastAsia" w:ascii="仿宋" w:hAnsi="仿宋" w:eastAsia="仿宋" w:cs="仿宋"/>
        </w:rPr>
        <w:t>%，主要原因是：正常支出</w:t>
      </w:r>
      <w:bookmarkEnd w:id="185"/>
      <w:r>
        <w:rPr>
          <w:rFonts w:hint="eastAsia" w:ascii="仿宋" w:hAnsi="仿宋" w:eastAsia="仿宋" w:cs="仿宋"/>
        </w:rPr>
        <w:t>。</w:t>
      </w:r>
      <w:bookmarkEnd w:id="184"/>
      <w:bookmarkStart w:id="186" w:name="END_JGYXJF_FUNDS_AMT"/>
      <w:bookmarkEnd w:id="186"/>
    </w:p>
    <w:p>
      <w:pPr>
        <w:pStyle w:val="12"/>
        <w:keepNext w:val="0"/>
        <w:keepLines w:val="0"/>
        <w:pageBreakBefore w:val="0"/>
        <w:widowControl w:val="0"/>
        <w:kinsoku/>
        <w:wordWrap/>
        <w:overflowPunct/>
        <w:topLinePunct w:val="0"/>
        <w:bidi w:val="0"/>
        <w:snapToGrid/>
        <w:spacing w:line="600" w:lineRule="exact"/>
        <w:ind w:firstLine="1280" w:firstLineChars="4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年本部门开支会议费</w:t>
      </w:r>
      <w:r>
        <w:rPr>
          <w:rFonts w:hint="eastAsia" w:ascii="仿宋" w:hAnsi="仿宋" w:eastAsia="仿宋" w:cs="仿宋"/>
          <w:color w:val="000000"/>
          <w:shd w:val="clear" w:color="auto" w:fill="FFFFFF"/>
          <w:lang w:val="en-US" w:eastAsia="zh-CN"/>
        </w:rPr>
        <w:t>0.05</w:t>
      </w:r>
      <w:r>
        <w:rPr>
          <w:rFonts w:hint="eastAsia" w:ascii="仿宋" w:hAnsi="仿宋" w:eastAsia="仿宋" w:cs="仿宋"/>
        </w:rPr>
        <w:t>万元</w:t>
      </w:r>
      <w:bookmarkStart w:id="187" w:name="START_MEET_FUNDS_AMT"/>
      <w:bookmarkEnd w:id="187"/>
      <w:bookmarkStart w:id="188" w:name="DIS_MARK_MEET_FUNDS_AMT"/>
      <w:r>
        <w:rPr>
          <w:rFonts w:hint="eastAsia" w:ascii="仿宋" w:hAnsi="仿宋" w:eastAsia="仿宋" w:cs="仿宋"/>
        </w:rPr>
        <w:t>，用于</w:t>
      </w:r>
      <w:bookmarkStart w:id="189" w:name="MEET_FUNDS_COUNT"/>
      <w:r>
        <w:rPr>
          <w:rFonts w:hint="eastAsia" w:ascii="仿宋" w:hAnsi="仿宋" w:eastAsia="仿宋" w:cs="仿宋"/>
          <w:color w:val="000000"/>
          <w:shd w:val="clear" w:color="auto" w:fill="FFFFFF"/>
        </w:rPr>
        <w:t>党建活动</w:t>
      </w:r>
      <w:bookmarkEnd w:id="189"/>
      <w:r>
        <w:rPr>
          <w:rFonts w:hint="eastAsia" w:ascii="仿宋" w:hAnsi="仿宋" w:eastAsia="仿宋" w:cs="仿宋"/>
        </w:rPr>
        <w:t>会议，人数</w:t>
      </w:r>
      <w:bookmarkStart w:id="190" w:name="MEET_FUNDS_RS"/>
      <w:r>
        <w:rPr>
          <w:rFonts w:hint="eastAsia" w:ascii="仿宋" w:hAnsi="仿宋" w:eastAsia="仿宋" w:cs="仿宋"/>
          <w:color w:val="000000"/>
          <w:shd w:val="clear" w:color="auto" w:fill="FFFFFF"/>
        </w:rPr>
        <w:t>2</w:t>
      </w:r>
      <w:bookmarkEnd w:id="190"/>
      <w:r>
        <w:rPr>
          <w:rFonts w:hint="eastAsia" w:ascii="仿宋" w:hAnsi="仿宋" w:eastAsia="仿宋" w:cs="仿宋"/>
          <w:color w:val="000000"/>
          <w:shd w:val="clear" w:color="auto" w:fill="FFFFFF"/>
          <w:lang w:val="en-US" w:eastAsia="zh-CN"/>
        </w:rPr>
        <w:t>0</w:t>
      </w:r>
      <w:r>
        <w:rPr>
          <w:rFonts w:hint="eastAsia" w:ascii="仿宋" w:hAnsi="仿宋" w:eastAsia="仿宋" w:cs="仿宋"/>
        </w:rPr>
        <w:t>人，内容为</w:t>
      </w:r>
      <w:bookmarkStart w:id="191" w:name="MEET_FUNDS_HYNR"/>
      <w:r>
        <w:rPr>
          <w:rFonts w:hint="eastAsia" w:ascii="仿宋" w:hAnsi="仿宋" w:eastAsia="仿宋" w:cs="仿宋"/>
          <w:color w:val="000000"/>
          <w:shd w:val="clear" w:color="auto" w:fill="FFFFFF"/>
        </w:rPr>
        <w:t>局机关党建活动</w:t>
      </w:r>
      <w:bookmarkEnd w:id="188"/>
      <w:bookmarkEnd w:id="191"/>
      <w:bookmarkStart w:id="192" w:name="END_MEET_FUNDS_AMT"/>
      <w:bookmarkEnd w:id="192"/>
      <w:r>
        <w:rPr>
          <w:rFonts w:hint="eastAsia" w:ascii="仿宋" w:hAnsi="仿宋" w:eastAsia="仿宋" w:cs="仿宋"/>
        </w:rPr>
        <w:t>；开支培训费</w:t>
      </w:r>
      <w:bookmarkStart w:id="193" w:name="TRAIN_FUNDS_AMT"/>
      <w:r>
        <w:rPr>
          <w:rFonts w:hint="eastAsia" w:ascii="仿宋" w:hAnsi="仿宋" w:eastAsia="仿宋" w:cs="仿宋"/>
          <w:color w:val="000000"/>
          <w:shd w:val="clear" w:color="auto" w:fill="FFFFFF"/>
        </w:rPr>
        <w:t>0.2</w:t>
      </w:r>
      <w:bookmarkEnd w:id="193"/>
      <w:r>
        <w:rPr>
          <w:rFonts w:hint="eastAsia" w:ascii="仿宋" w:hAnsi="仿宋" w:eastAsia="仿宋" w:cs="仿宋"/>
          <w:color w:val="000000"/>
          <w:shd w:val="clear" w:color="auto" w:fill="FFFFFF"/>
          <w:lang w:val="en-US" w:eastAsia="zh-CN"/>
        </w:rPr>
        <w:t>1</w:t>
      </w:r>
      <w:r>
        <w:rPr>
          <w:rFonts w:hint="eastAsia" w:ascii="仿宋" w:hAnsi="仿宋" w:eastAsia="仿宋" w:cs="仿宋"/>
        </w:rPr>
        <w:t>万元</w:t>
      </w:r>
      <w:bookmarkStart w:id="194" w:name="START_TRAIN_FUNDS_AMT"/>
      <w:bookmarkEnd w:id="194"/>
      <w:bookmarkStart w:id="195" w:name="DIS_MARK_TRAIN_FUNDS_AMT"/>
      <w:r>
        <w:rPr>
          <w:rFonts w:hint="eastAsia" w:ascii="仿宋" w:hAnsi="仿宋" w:eastAsia="仿宋" w:cs="仿宋"/>
        </w:rPr>
        <w:t>，用于</w:t>
      </w:r>
      <w:bookmarkStart w:id="196" w:name="TRAIN_FUNDS_COUNT"/>
      <w:r>
        <w:rPr>
          <w:rFonts w:hint="eastAsia" w:ascii="仿宋" w:hAnsi="仿宋" w:eastAsia="仿宋" w:cs="仿宋"/>
          <w:color w:val="000000"/>
          <w:shd w:val="clear" w:color="auto" w:fill="FFFFFF"/>
        </w:rPr>
        <w:t>教育培训</w:t>
      </w:r>
      <w:bookmarkEnd w:id="196"/>
      <w:r>
        <w:rPr>
          <w:rFonts w:hint="eastAsia" w:ascii="仿宋" w:hAnsi="仿宋" w:eastAsia="仿宋" w:cs="仿宋"/>
        </w:rPr>
        <w:t>培训，人数</w:t>
      </w:r>
      <w:r>
        <w:rPr>
          <w:rFonts w:hint="eastAsia" w:ascii="仿宋" w:hAnsi="仿宋" w:eastAsia="仿宋" w:cs="仿宋"/>
          <w:color w:val="000000"/>
          <w:shd w:val="clear" w:color="auto" w:fill="FFFFFF"/>
          <w:lang w:val="en-US" w:eastAsia="zh-CN"/>
        </w:rPr>
        <w:t>3</w:t>
      </w:r>
      <w:r>
        <w:rPr>
          <w:rFonts w:hint="eastAsia" w:ascii="仿宋" w:hAnsi="仿宋" w:eastAsia="仿宋" w:cs="仿宋"/>
        </w:rPr>
        <w:t>人，内容为</w:t>
      </w:r>
      <w:bookmarkStart w:id="197" w:name="TRAIN_FUNDS_PXNR"/>
      <w:r>
        <w:rPr>
          <w:rFonts w:hint="eastAsia" w:ascii="仿宋" w:hAnsi="仿宋" w:eastAsia="仿宋" w:cs="仿宋"/>
          <w:color w:val="000000"/>
          <w:shd w:val="clear" w:color="auto" w:fill="FFFFFF"/>
        </w:rPr>
        <w:t>聘请教育培训老师</w:t>
      </w:r>
      <w:bookmarkEnd w:id="195"/>
      <w:bookmarkEnd w:id="197"/>
      <w:bookmarkStart w:id="198" w:name="END_TRAIN_FUNDS_AMT"/>
      <w:bookmarkEnd w:id="198"/>
      <w:r>
        <w:rPr>
          <w:rFonts w:hint="eastAsia" w:ascii="仿宋" w:hAnsi="仿宋" w:eastAsia="仿宋" w:cs="仿宋"/>
        </w:rPr>
        <w:t>；</w:t>
      </w:r>
      <w:bookmarkStart w:id="199" w:name="END_YES"/>
      <w:bookmarkEnd w:id="199"/>
      <w:bookmarkStart w:id="200" w:name="START_YES"/>
      <w:bookmarkEnd w:id="200"/>
      <w:bookmarkStart w:id="201" w:name="START_NO"/>
      <w:bookmarkEnd w:id="201"/>
      <w:bookmarkStart w:id="202" w:name="DIS_MARK_YES"/>
      <w:bookmarkEnd w:id="202"/>
      <w:bookmarkStart w:id="203" w:name="YES_NO"/>
      <w:bookmarkEnd w:id="203"/>
      <w:bookmarkStart w:id="204" w:name="DIS_MARK_NO"/>
      <w:r>
        <w:rPr>
          <w:rFonts w:hint="eastAsia" w:ascii="仿宋" w:hAnsi="仿宋" w:eastAsia="仿宋" w:cs="仿宋_GB2312"/>
          <w:color w:val="000000"/>
          <w:shd w:val="clear" w:color="auto" w:fill="FFFFFF"/>
        </w:rPr>
        <w:t>未举办节庆、晚会、论坛、赛事活动</w:t>
      </w:r>
      <w:r>
        <w:rPr>
          <w:rFonts w:hint="eastAsia" w:ascii="仿宋" w:hAnsi="仿宋" w:eastAsia="仿宋" w:cs="仿宋"/>
        </w:rPr>
        <w:t>。</w:t>
      </w:r>
      <w:bookmarkEnd w:id="204"/>
      <w:bookmarkStart w:id="205" w:name="END_NO"/>
      <w:bookmarkEnd w:id="205"/>
    </w:p>
    <w:p>
      <w:pPr>
        <w:pStyle w:val="3"/>
        <w:tabs>
          <w:tab w:val="left" w:pos="3864"/>
          <w:tab w:val="left" w:pos="6248"/>
          <w:tab w:val="left" w:pos="7386"/>
        </w:tabs>
        <w:overflowPunct w:val="0"/>
        <w:spacing w:before="1" w:line="360" w:lineRule="auto"/>
        <w:ind w:left="420" w:leftChars="200" w:right="420" w:firstLine="659" w:firstLineChars="206"/>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本部门</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年度政府采购支出总额</w:t>
      </w:r>
      <w:r>
        <w:rPr>
          <w:rFonts w:hint="eastAsia" w:ascii="仿宋" w:hAnsi="仿宋" w:eastAsia="仿宋" w:cs="仿宋"/>
          <w:color w:val="000000"/>
          <w:shd w:val="clear" w:color="auto" w:fill="FFFFFF"/>
          <w:lang w:val="en-US" w:eastAsia="zh-CN"/>
        </w:rPr>
        <w:t>835.4</w:t>
      </w:r>
      <w:r>
        <w:rPr>
          <w:rFonts w:hint="eastAsia" w:ascii="仿宋" w:hAnsi="仿宋" w:eastAsia="仿宋" w:cs="仿宋"/>
        </w:rPr>
        <w:t>万元，其中：政府采购货物支出</w:t>
      </w:r>
      <w:r>
        <w:rPr>
          <w:rFonts w:hint="eastAsia" w:ascii="仿宋" w:hAnsi="仿宋" w:eastAsia="仿宋" w:cs="仿宋"/>
          <w:color w:val="000000"/>
          <w:shd w:val="clear" w:color="auto" w:fill="FFFFFF"/>
          <w:lang w:val="en-US" w:eastAsia="zh-CN"/>
        </w:rPr>
        <w:t>148.2244</w:t>
      </w:r>
      <w:r>
        <w:rPr>
          <w:rFonts w:hint="eastAsia" w:ascii="仿宋" w:hAnsi="仿宋" w:eastAsia="仿宋" w:cs="仿宋"/>
        </w:rPr>
        <w:t>万元、政府采购工程支出</w:t>
      </w:r>
      <w:r>
        <w:rPr>
          <w:rFonts w:hint="eastAsia" w:ascii="仿宋" w:hAnsi="仿宋" w:eastAsia="仿宋" w:cs="仿宋"/>
          <w:color w:val="000000"/>
          <w:shd w:val="clear" w:color="auto" w:fill="FFFFFF"/>
          <w:lang w:val="en-US" w:eastAsia="zh-CN"/>
        </w:rPr>
        <w:t>382.4725</w:t>
      </w:r>
      <w:r>
        <w:rPr>
          <w:rFonts w:hint="eastAsia" w:ascii="仿宋" w:hAnsi="仿宋" w:eastAsia="仿宋" w:cs="仿宋"/>
        </w:rPr>
        <w:t>万元、政府采购服务支出</w:t>
      </w:r>
      <w:r>
        <w:rPr>
          <w:rFonts w:hint="eastAsia" w:ascii="仿宋" w:hAnsi="仿宋" w:eastAsia="仿宋" w:cs="仿宋"/>
          <w:color w:val="000000"/>
          <w:shd w:val="clear" w:color="auto" w:fill="FFFFFF"/>
          <w:lang w:val="en-US" w:eastAsia="zh-CN"/>
        </w:rPr>
        <w:t>275.9186</w:t>
      </w:r>
      <w:r>
        <w:rPr>
          <w:rFonts w:hint="eastAsia" w:ascii="仿宋" w:hAnsi="仿宋" w:eastAsia="仿宋" w:cs="仿宋"/>
        </w:rPr>
        <w:t>万元。授予中小企业合同金额</w:t>
      </w:r>
      <w:r>
        <w:rPr>
          <w:rFonts w:hint="eastAsia" w:ascii="仿宋" w:hAnsi="仿宋" w:eastAsia="仿宋" w:cs="仿宋"/>
          <w:lang w:val="en-US" w:eastAsia="zh-CN"/>
        </w:rPr>
        <w:t>424.143</w:t>
      </w:r>
      <w:r>
        <w:rPr>
          <w:rFonts w:hint="eastAsia" w:ascii="仿宋" w:hAnsi="仿宋" w:eastAsia="仿宋" w:cs="仿宋"/>
        </w:rPr>
        <w:t>万元，占政府采购支出总额的</w:t>
      </w:r>
      <w:r>
        <w:rPr>
          <w:rFonts w:hint="eastAsia" w:ascii="仿宋" w:hAnsi="仿宋" w:eastAsia="仿宋" w:cs="仿宋"/>
          <w:lang w:val="en-US" w:eastAsia="zh-CN"/>
        </w:rPr>
        <w:t>50.77</w:t>
      </w:r>
      <w:r>
        <w:rPr>
          <w:rFonts w:ascii="仿宋" w:hAnsi="仿宋" w:eastAsia="仿宋" w:cs="仿宋"/>
        </w:rPr>
        <w:t>%</w:t>
      </w:r>
      <w:r>
        <w:rPr>
          <w:rFonts w:hint="eastAsia" w:ascii="仿宋" w:hAnsi="仿宋" w:eastAsia="仿宋" w:cs="仿宋"/>
        </w:rPr>
        <w:t>，其中：授予小微企业合同金额</w:t>
      </w:r>
      <w:r>
        <w:rPr>
          <w:rFonts w:hint="eastAsia" w:ascii="仿宋" w:hAnsi="仿宋" w:eastAsia="仿宋" w:cs="仿宋"/>
          <w:color w:val="000000"/>
          <w:shd w:val="clear" w:color="auto" w:fill="FFFFFF"/>
          <w:lang w:val="en-US" w:eastAsia="zh-CN"/>
        </w:rPr>
        <w:t>275.9186</w:t>
      </w:r>
      <w:r>
        <w:rPr>
          <w:rFonts w:hint="eastAsia" w:ascii="仿宋" w:hAnsi="仿宋" w:eastAsia="仿宋" w:cs="仿宋"/>
        </w:rPr>
        <w:t>万元，占政府采购支出总额的</w:t>
      </w:r>
      <w:r>
        <w:rPr>
          <w:rFonts w:hint="eastAsia" w:ascii="仿宋" w:hAnsi="仿宋" w:eastAsia="仿宋" w:cs="仿宋"/>
          <w:lang w:val="en-US" w:eastAsia="zh-CN"/>
        </w:rPr>
        <w:t>33.03</w:t>
      </w:r>
      <w:r>
        <w:rPr>
          <w:rFonts w:ascii="仿宋" w:hAnsi="仿宋" w:eastAsia="仿宋" w:cs="仿宋"/>
        </w:rPr>
        <w:t>%</w:t>
      </w:r>
      <w:r>
        <w:rPr>
          <w:rFonts w:hint="eastAsia" w:ascii="仿宋" w:hAnsi="仿宋" w:eastAsia="仿宋" w:cs="仿宋_GB2312"/>
          <w:color w:val="000000"/>
          <w:shd w:val="clear" w:color="auto" w:fill="FFFFFF"/>
          <w:lang w:eastAsia="zh-CN"/>
        </w:rPr>
        <w:t>；</w:t>
      </w:r>
      <w:r>
        <w:rPr>
          <w:rFonts w:hint="eastAsia" w:ascii="仿宋" w:hAnsi="仿宋" w:eastAsia="仿宋" w:cs="仿宋"/>
        </w:rPr>
        <w:t>货物</w:t>
      </w:r>
      <w:r>
        <w:rPr>
          <w:rFonts w:hint="eastAsia" w:ascii="仿宋" w:hAnsi="仿宋" w:eastAsia="仿宋" w:cs="仿宋"/>
          <w:lang w:val="en-US" w:eastAsia="zh-CN"/>
        </w:rPr>
        <w:t>采购</w:t>
      </w:r>
      <w:r>
        <w:rPr>
          <w:rFonts w:hint="eastAsia" w:ascii="仿宋" w:hAnsi="仿宋" w:eastAsia="仿宋" w:cs="仿宋"/>
        </w:rPr>
        <w:t>授予中小企业合同金额</w:t>
      </w:r>
      <w:r>
        <w:rPr>
          <w:rFonts w:hint="eastAsia" w:ascii="仿宋" w:hAnsi="仿宋" w:eastAsia="仿宋" w:cs="仿宋"/>
          <w:lang w:val="en-US" w:eastAsia="zh-CN"/>
        </w:rPr>
        <w:t>占</w:t>
      </w:r>
      <w:r>
        <w:rPr>
          <w:rFonts w:hint="eastAsia" w:ascii="仿宋" w:hAnsi="仿宋" w:eastAsia="仿宋" w:cs="仿宋"/>
        </w:rPr>
        <w:t>货物</w:t>
      </w:r>
      <w:r>
        <w:rPr>
          <w:rFonts w:hint="eastAsia" w:ascii="仿宋" w:hAnsi="仿宋" w:eastAsia="仿宋" w:cs="仿宋"/>
          <w:lang w:val="en-US" w:eastAsia="zh-CN"/>
        </w:rPr>
        <w:t>支出金额的</w:t>
      </w:r>
      <w:bookmarkStart w:id="206" w:name="GP_BGT_CGHW_AMT_BL"/>
      <w:r>
        <w:rPr>
          <w:rFonts w:hint="eastAsia" w:ascii="仿宋" w:hAnsi="仿宋" w:eastAsia="仿宋" w:cs="仿宋"/>
        </w:rPr>
        <w:t>100</w:t>
      </w:r>
      <w:bookmarkEnd w:id="206"/>
      <w:r>
        <w:rPr>
          <w:rFonts w:ascii="仿宋" w:hAnsi="仿宋" w:eastAsia="仿宋" w:cs="仿宋"/>
        </w:rPr>
        <w:t>%</w:t>
      </w:r>
      <w:r>
        <w:rPr>
          <w:rFonts w:hint="eastAsia" w:ascii="仿宋" w:hAnsi="仿宋" w:eastAsia="仿宋" w:cs="仿宋"/>
          <w:lang w:eastAsia="zh-CN"/>
        </w:rPr>
        <w:t>，</w:t>
      </w:r>
      <w:r>
        <w:rPr>
          <w:rFonts w:hint="eastAsia" w:ascii="仿宋" w:hAnsi="仿宋" w:eastAsia="仿宋" w:cs="仿宋"/>
          <w:lang w:val="en-US" w:eastAsia="zh-CN"/>
        </w:rPr>
        <w:t>工程采购</w:t>
      </w:r>
      <w:r>
        <w:rPr>
          <w:rFonts w:hint="eastAsia" w:ascii="仿宋" w:hAnsi="仿宋" w:eastAsia="仿宋" w:cs="仿宋"/>
        </w:rPr>
        <w:t>授予中小企业合同金额</w:t>
      </w:r>
      <w:r>
        <w:rPr>
          <w:rFonts w:hint="eastAsia" w:ascii="仿宋" w:hAnsi="仿宋" w:eastAsia="仿宋" w:cs="仿宋"/>
          <w:lang w:val="en-US" w:eastAsia="zh-CN"/>
        </w:rPr>
        <w:t>占工程支出金额的</w:t>
      </w:r>
      <w:bookmarkStart w:id="207" w:name="GP_BGT_CGGC_AMT_BL"/>
      <w:r>
        <w:rPr>
          <w:rFonts w:hint="eastAsia" w:ascii="仿宋" w:hAnsi="仿宋" w:eastAsia="仿宋" w:cs="仿宋"/>
          <w:lang w:val="en-US" w:eastAsia="zh-CN"/>
        </w:rPr>
        <w:t>100</w:t>
      </w:r>
      <w:bookmarkEnd w:id="207"/>
      <w:r>
        <w:rPr>
          <w:rFonts w:ascii="仿宋" w:hAnsi="仿宋" w:eastAsia="仿宋" w:cs="仿宋"/>
        </w:rPr>
        <w:t>%</w:t>
      </w:r>
      <w:r>
        <w:rPr>
          <w:rFonts w:hint="eastAsia" w:ascii="仿宋" w:hAnsi="仿宋" w:eastAsia="仿宋" w:cs="仿宋"/>
          <w:lang w:eastAsia="zh-CN"/>
        </w:rPr>
        <w:t>，</w:t>
      </w:r>
      <w:r>
        <w:rPr>
          <w:rFonts w:hint="eastAsia" w:ascii="仿宋" w:hAnsi="仿宋" w:eastAsia="仿宋" w:cs="仿宋"/>
          <w:lang w:val="en-US" w:eastAsia="zh-CN"/>
        </w:rPr>
        <w:t>服务采购</w:t>
      </w:r>
      <w:r>
        <w:rPr>
          <w:rFonts w:hint="eastAsia" w:ascii="仿宋" w:hAnsi="仿宋" w:eastAsia="仿宋" w:cs="仿宋"/>
        </w:rPr>
        <w:t>授予中小企业合同金额</w:t>
      </w:r>
      <w:r>
        <w:rPr>
          <w:rFonts w:hint="eastAsia" w:ascii="仿宋" w:hAnsi="仿宋" w:eastAsia="仿宋" w:cs="仿宋"/>
          <w:lang w:val="en-US" w:eastAsia="zh-CN"/>
        </w:rPr>
        <w:t>占服务支出金额的</w:t>
      </w:r>
      <w:bookmarkStart w:id="208" w:name="GP_BGT_CGFW_AMT_BL"/>
      <w:r>
        <w:rPr>
          <w:rFonts w:hint="eastAsia" w:ascii="仿宋" w:hAnsi="仿宋" w:eastAsia="仿宋" w:cs="仿宋"/>
          <w:lang w:val="en-US" w:eastAsia="zh-CN"/>
        </w:rPr>
        <w:t>100</w:t>
      </w:r>
      <w:bookmarkEnd w:id="208"/>
      <w:r>
        <w:rPr>
          <w:rFonts w:ascii="仿宋" w:hAnsi="仿宋" w:eastAsia="仿宋" w:cs="仿宋"/>
        </w:rPr>
        <w:t>%</w:t>
      </w:r>
      <w:r>
        <w:rPr>
          <w:rFonts w:hint="eastAsia" w:ascii="仿宋" w:hAnsi="仿宋" w:eastAsia="仿宋" w:cs="仿宋"/>
        </w:rPr>
        <w:t>。</w:t>
      </w:r>
    </w:p>
    <w:p>
      <w:pPr>
        <w:pStyle w:val="3"/>
        <w:tabs>
          <w:tab w:val="left" w:pos="3864"/>
          <w:tab w:val="left" w:pos="6248"/>
          <w:tab w:val="left" w:pos="7386"/>
        </w:tabs>
        <w:overflowPunct w:val="0"/>
        <w:spacing w:before="1" w:line="360" w:lineRule="auto"/>
        <w:ind w:left="420" w:leftChars="200" w:right="420" w:firstLine="659" w:firstLineChars="206"/>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3"/>
        <w:tabs>
          <w:tab w:val="left" w:pos="3864"/>
          <w:tab w:val="left" w:pos="6248"/>
          <w:tab w:val="left" w:pos="7386"/>
        </w:tabs>
        <w:overflowPunct w:val="0"/>
        <w:spacing w:before="1" w:line="360" w:lineRule="auto"/>
        <w:ind w:left="420" w:leftChars="200" w:right="420" w:firstLine="659" w:firstLineChars="206"/>
        <w:rPr>
          <w:rFonts w:hint="eastAsia" w:ascii="仿宋" w:hAnsi="仿宋" w:eastAsia="仿宋" w:cs="仿宋"/>
        </w:rPr>
      </w:pPr>
      <w:r>
        <w:rPr>
          <w:rFonts w:hint="eastAsia" w:ascii="仿宋" w:hAnsi="仿宋" w:eastAsia="仿宋" w:cs="仿宋"/>
        </w:rPr>
        <w:t>截至</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年12月31日，本部门共有公务用车</w:t>
      </w:r>
      <w:r>
        <w:rPr>
          <w:rFonts w:hint="eastAsia" w:ascii="仿宋" w:hAnsi="仿宋" w:eastAsia="仿宋" w:cs="仿宋"/>
          <w:lang w:val="en-US" w:eastAsia="zh-CN"/>
        </w:rPr>
        <w:t>3</w:t>
      </w:r>
      <w:r>
        <w:rPr>
          <w:rFonts w:hint="eastAsia" w:ascii="仿宋" w:hAnsi="仿宋" w:eastAsia="仿宋" w:cs="仿宋"/>
        </w:rPr>
        <w:t>辆，其中，主要领导干部用车</w:t>
      </w:r>
      <w:bookmarkStart w:id="209" w:name="GYZC_TOTAL_LDGBYC"/>
      <w:r>
        <w:rPr>
          <w:rFonts w:hint="eastAsia" w:ascii="仿宋" w:hAnsi="仿宋" w:eastAsia="仿宋" w:cs="仿宋"/>
        </w:rPr>
        <w:t>0</w:t>
      </w:r>
      <w:bookmarkEnd w:id="209"/>
      <w:r>
        <w:rPr>
          <w:rFonts w:hint="eastAsia" w:ascii="仿宋" w:hAnsi="仿宋" w:eastAsia="仿宋" w:cs="仿宋"/>
        </w:rPr>
        <w:t>辆、机要通信用车</w:t>
      </w:r>
      <w:bookmarkStart w:id="210" w:name="GYZC_TOTAL_JYTXYC"/>
      <w:r>
        <w:rPr>
          <w:rFonts w:hint="eastAsia" w:ascii="仿宋" w:hAnsi="仿宋" w:eastAsia="仿宋" w:cs="仿宋"/>
        </w:rPr>
        <w:t>0</w:t>
      </w:r>
      <w:bookmarkEnd w:id="210"/>
      <w:r>
        <w:rPr>
          <w:rFonts w:hint="eastAsia" w:ascii="仿宋" w:hAnsi="仿宋" w:eastAsia="仿宋" w:cs="仿宋"/>
        </w:rPr>
        <w:t>辆、应急保障用车</w:t>
      </w:r>
      <w:bookmarkStart w:id="211" w:name="GYZC_TOTAL_YJBZYC"/>
      <w:r>
        <w:rPr>
          <w:rFonts w:hint="eastAsia" w:ascii="仿宋" w:hAnsi="仿宋" w:eastAsia="仿宋" w:cs="仿宋"/>
        </w:rPr>
        <w:t>0</w:t>
      </w:r>
      <w:bookmarkEnd w:id="211"/>
      <w:r>
        <w:rPr>
          <w:rFonts w:hint="eastAsia" w:ascii="仿宋" w:hAnsi="仿宋" w:eastAsia="仿宋" w:cs="仿宋"/>
        </w:rPr>
        <w:t>辆、执法执勤用车</w:t>
      </w:r>
      <w:r>
        <w:rPr>
          <w:rFonts w:hint="eastAsia" w:ascii="仿宋" w:hAnsi="仿宋" w:eastAsia="仿宋" w:cs="仿宋"/>
          <w:lang w:val="en-US" w:eastAsia="zh-CN"/>
        </w:rPr>
        <w:t>3</w:t>
      </w:r>
      <w:r>
        <w:rPr>
          <w:rFonts w:hint="eastAsia" w:ascii="仿宋" w:hAnsi="仿宋" w:eastAsia="仿宋" w:cs="仿宋"/>
        </w:rPr>
        <w:t>辆、特种专业技术用车</w:t>
      </w:r>
      <w:bookmarkStart w:id="212" w:name="GYZC_TOTAL_TZZYJSYC"/>
      <w:r>
        <w:rPr>
          <w:rFonts w:hint="eastAsia" w:ascii="仿宋" w:hAnsi="仿宋" w:eastAsia="仿宋" w:cs="仿宋"/>
        </w:rPr>
        <w:t>0</w:t>
      </w:r>
      <w:bookmarkEnd w:id="212"/>
      <w:r>
        <w:rPr>
          <w:rFonts w:hint="eastAsia" w:ascii="仿宋" w:hAnsi="仿宋" w:eastAsia="仿宋" w:cs="仿宋"/>
        </w:rPr>
        <w:t>辆、其他按照规定配备的公务用车</w:t>
      </w:r>
      <w:bookmarkStart w:id="213" w:name="GYZC_TOTAL_QTYC"/>
      <w:r>
        <w:rPr>
          <w:rFonts w:hint="eastAsia" w:ascii="仿宋" w:hAnsi="仿宋" w:eastAsia="仿宋" w:cs="仿宋"/>
        </w:rPr>
        <w:t>0</w:t>
      </w:r>
      <w:bookmarkEnd w:id="213"/>
      <w:r>
        <w:rPr>
          <w:rFonts w:hint="eastAsia" w:ascii="仿宋" w:hAnsi="仿宋" w:eastAsia="仿宋" w:cs="仿宋"/>
        </w:rPr>
        <w:t>辆</w:t>
      </w:r>
      <w:bookmarkStart w:id="214" w:name="DIS_MARK_GYZC_TOTAL_QTYC"/>
      <w:bookmarkEnd w:id="214"/>
      <w:bookmarkStart w:id="215" w:name="GYZC_TOTAL_QTCL_YT"/>
      <w:bookmarkEnd w:id="215"/>
      <w:bookmarkStart w:id="216" w:name="END_GYZC_TOTAL_QTYC"/>
      <w:bookmarkEnd w:id="216"/>
      <w:bookmarkStart w:id="217" w:name="START_GYZC_TOTAL_QTYC"/>
      <w:bookmarkEnd w:id="217"/>
      <w:r>
        <w:rPr>
          <w:rFonts w:hint="eastAsia" w:ascii="仿宋" w:hAnsi="仿宋" w:eastAsia="仿宋" w:cs="仿宋"/>
        </w:rPr>
        <w:t>；单位价值50万元以上通用设备</w:t>
      </w:r>
      <w:r>
        <w:rPr>
          <w:rFonts w:hint="eastAsia" w:ascii="仿宋" w:hAnsi="仿宋" w:eastAsia="仿宋" w:cs="仿宋"/>
          <w:lang w:val="en-US" w:eastAsia="zh-CN"/>
        </w:rPr>
        <w:t>0</w:t>
      </w:r>
      <w:r>
        <w:rPr>
          <w:rFonts w:hint="eastAsia" w:ascii="仿宋" w:hAnsi="仿宋" w:eastAsia="仿宋" w:cs="仿宋"/>
        </w:rPr>
        <w:t>台（套），单位价值100万元以上专用设备</w:t>
      </w:r>
      <w:bookmarkStart w:id="218" w:name="GYZC_TOTAL_DJ_100"/>
      <w:r>
        <w:rPr>
          <w:rFonts w:hint="eastAsia" w:ascii="仿宋" w:hAnsi="仿宋" w:eastAsia="仿宋" w:cs="仿宋"/>
        </w:rPr>
        <w:t>1</w:t>
      </w:r>
      <w:bookmarkEnd w:id="218"/>
      <w:r>
        <w:rPr>
          <w:rFonts w:hint="eastAsia" w:ascii="仿宋" w:hAnsi="仿宋" w:eastAsia="仿宋" w:cs="仿宋"/>
        </w:rPr>
        <w:t>台（套）。</w:t>
      </w:r>
    </w:p>
    <w:p>
      <w:pPr>
        <w:pStyle w:val="3"/>
        <w:numPr>
          <w:ilvl w:val="0"/>
          <w:numId w:val="1"/>
        </w:numPr>
        <w:tabs>
          <w:tab w:val="left" w:pos="3864"/>
          <w:tab w:val="left" w:pos="6248"/>
          <w:tab w:val="left" w:pos="7386"/>
        </w:tabs>
        <w:overflowPunct w:val="0"/>
        <w:spacing w:before="1" w:line="360" w:lineRule="auto"/>
        <w:ind w:left="420" w:leftChars="200" w:right="420" w:firstLine="659" w:firstLineChars="206"/>
        <w:rPr>
          <w:rFonts w:hint="eastAsia" w:ascii="黑体" w:hAnsi="黑体" w:eastAsia="黑体" w:cs="黑体"/>
          <w:b w:val="0"/>
          <w:bCs/>
          <w:sz w:val="32"/>
          <w:szCs w:val="32"/>
        </w:rPr>
      </w:pPr>
      <w:r>
        <w:rPr>
          <w:rFonts w:hint="eastAsia" w:ascii="黑体" w:hAnsi="黑体" w:eastAsia="黑体" w:cs="黑体"/>
          <w:b w:val="0"/>
          <w:bCs/>
          <w:sz w:val="32"/>
          <w:szCs w:val="32"/>
        </w:rPr>
        <w:t>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3"/>
        <w:numPr>
          <w:ilvl w:val="0"/>
          <w:numId w:val="0"/>
        </w:numPr>
        <w:tabs>
          <w:tab w:val="left" w:pos="3864"/>
          <w:tab w:val="left" w:pos="6248"/>
          <w:tab w:val="left" w:pos="7386"/>
        </w:tabs>
        <w:overflowPunct w:val="0"/>
        <w:spacing w:before="1" w:line="360" w:lineRule="auto"/>
        <w:ind w:leftChars="406" w:right="420" w:rightChars="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2022年，本单位年初预算</w:t>
      </w:r>
      <w:r>
        <w:rPr>
          <w:rFonts w:hint="eastAsia" w:ascii="仿宋" w:hAnsi="仿宋" w:eastAsia="仿宋"/>
          <w:sz w:val="32"/>
          <w:szCs w:val="32"/>
        </w:rPr>
        <w:t>938.41万元，全年支出2905.3</w:t>
      </w:r>
      <w:r>
        <w:rPr>
          <w:rFonts w:hint="eastAsia" w:ascii="仿宋" w:hAnsi="仿宋" w:eastAsia="仿宋"/>
          <w:sz w:val="32"/>
          <w:szCs w:val="32"/>
          <w:lang w:val="en-US" w:eastAsia="zh-CN"/>
        </w:rPr>
        <w:t>8</w:t>
      </w:r>
      <w:r>
        <w:rPr>
          <w:rFonts w:hint="eastAsia" w:ascii="仿宋" w:hAnsi="仿宋" w:eastAsia="仿宋"/>
          <w:color w:val="333333"/>
          <w:sz w:val="32"/>
          <w:szCs w:val="32"/>
        </w:rPr>
        <w:t>万元，增加支出主要是由于人员基本工资提标和文明创建、违停抄牌、拆违控违、智慧路灯、渗滤液应急处理、执法车辆购置等项目支出追加所致。通过加强预算收支管理，建立健全内部管理制度，完善财务流程，部门整体支出管理水平得到提升，职工各项待遇有力保障，机关运行正常有序，全年目标任务基本达成。</w:t>
      </w:r>
    </w:p>
    <w:p>
      <w:pPr>
        <w:pStyle w:val="7"/>
        <w:spacing w:before="0" w:beforeAutospacing="0" w:after="0" w:afterAutospacing="0" w:line="600" w:lineRule="exact"/>
        <w:ind w:firstLine="640" w:firstLineChars="200"/>
        <w:jc w:val="both"/>
        <w:textAlignment w:val="center"/>
        <w:rPr>
          <w:rFonts w:ascii="楷体" w:hAnsi="楷体" w:eastAsia="楷体"/>
          <w:color w:val="333333"/>
          <w:sz w:val="32"/>
          <w:szCs w:val="32"/>
        </w:rPr>
      </w:pPr>
      <w:r>
        <w:rPr>
          <w:rFonts w:hint="eastAsia" w:ascii="楷体" w:hAnsi="楷体" w:eastAsia="楷体"/>
          <w:color w:val="333333"/>
          <w:sz w:val="32"/>
          <w:szCs w:val="32"/>
          <w:lang w:val="en-US" w:eastAsia="zh-CN"/>
        </w:rPr>
        <w:t>1、</w:t>
      </w:r>
      <w:r>
        <w:rPr>
          <w:rFonts w:hint="eastAsia" w:ascii="楷体" w:hAnsi="楷体" w:eastAsia="楷体"/>
          <w:color w:val="333333"/>
          <w:sz w:val="32"/>
          <w:szCs w:val="32"/>
        </w:rPr>
        <w:t>单位总支出情况的绩效分析</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2022年度本单</w:t>
      </w:r>
      <w:r>
        <w:rPr>
          <w:rFonts w:hint="eastAsia" w:ascii="仿宋" w:hAnsi="仿宋" w:eastAsia="仿宋"/>
          <w:sz w:val="32"/>
          <w:szCs w:val="32"/>
        </w:rPr>
        <w:t>位共支出资金2905.3</w:t>
      </w:r>
      <w:r>
        <w:rPr>
          <w:rFonts w:hint="eastAsia" w:ascii="仿宋" w:hAnsi="仿宋" w:eastAsia="仿宋"/>
          <w:sz w:val="32"/>
          <w:szCs w:val="32"/>
          <w:lang w:val="en-US" w:eastAsia="zh-CN"/>
        </w:rPr>
        <w:t>8</w:t>
      </w:r>
      <w:r>
        <w:rPr>
          <w:rFonts w:hint="eastAsia" w:ascii="仿宋" w:hAnsi="仿宋" w:eastAsia="仿宋"/>
          <w:sz w:val="32"/>
          <w:szCs w:val="32"/>
        </w:rPr>
        <w:t>万元，其中财政资金2324.93万元。基本支出304.89万元，其中人员经费</w:t>
      </w:r>
      <w:r>
        <w:rPr>
          <w:rFonts w:hint="eastAsia" w:ascii="仿宋" w:hAnsi="仿宋" w:eastAsia="仿宋"/>
          <w:sz w:val="32"/>
          <w:szCs w:val="32"/>
          <w:lang w:val="en-US" w:eastAsia="zh-CN"/>
        </w:rPr>
        <w:t>268.32</w:t>
      </w:r>
      <w:r>
        <w:rPr>
          <w:rFonts w:hint="eastAsia" w:ascii="仿宋" w:hAnsi="仿宋" w:eastAsia="仿宋"/>
          <w:sz w:val="32"/>
          <w:szCs w:val="32"/>
        </w:rPr>
        <w:t>万元，公用经费</w:t>
      </w:r>
      <w:r>
        <w:rPr>
          <w:rFonts w:hint="eastAsia" w:ascii="仿宋" w:hAnsi="仿宋" w:eastAsia="仿宋"/>
          <w:sz w:val="32"/>
          <w:szCs w:val="32"/>
          <w:lang w:val="en-US" w:eastAsia="zh-CN"/>
        </w:rPr>
        <w:t>32.5</w:t>
      </w:r>
      <w:r>
        <w:rPr>
          <w:rFonts w:hint="eastAsia" w:ascii="仿宋" w:hAnsi="仿宋" w:eastAsia="仿宋"/>
          <w:sz w:val="32"/>
          <w:szCs w:val="32"/>
        </w:rPr>
        <w:t>万元；项目支出2600.4</w:t>
      </w:r>
      <w:r>
        <w:rPr>
          <w:rFonts w:hint="eastAsia" w:ascii="仿宋" w:hAnsi="仿宋" w:eastAsia="仿宋"/>
          <w:sz w:val="32"/>
          <w:szCs w:val="32"/>
          <w:lang w:val="en-US" w:eastAsia="zh-CN"/>
        </w:rPr>
        <w:t>9</w:t>
      </w:r>
      <w:r>
        <w:rPr>
          <w:rFonts w:hint="eastAsia" w:ascii="仿宋" w:hAnsi="仿宋" w:eastAsia="仿宋"/>
          <w:sz w:val="32"/>
          <w:szCs w:val="32"/>
        </w:rPr>
        <w:t>万元</w:t>
      </w:r>
      <w:r>
        <w:rPr>
          <w:rFonts w:hint="eastAsia" w:ascii="仿宋" w:hAnsi="仿宋" w:eastAsia="仿宋"/>
          <w:color w:val="333333"/>
          <w:sz w:val="32"/>
          <w:szCs w:val="32"/>
        </w:rPr>
        <w:t>。</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单位总支出绩效评价：2022年年初部门预算</w:t>
      </w:r>
      <w:r>
        <w:rPr>
          <w:rFonts w:hint="eastAsia" w:ascii="仿宋" w:hAnsi="仿宋" w:eastAsia="仿宋"/>
          <w:sz w:val="32"/>
          <w:szCs w:val="32"/>
        </w:rPr>
        <w:t>938.41</w:t>
      </w:r>
      <w:r>
        <w:rPr>
          <w:rFonts w:hint="eastAsia" w:ascii="仿宋" w:hAnsi="仿宋" w:eastAsia="仿宋"/>
          <w:color w:val="333333"/>
          <w:sz w:val="32"/>
          <w:szCs w:val="32"/>
        </w:rPr>
        <w:t>万元。由于人员经费标准提高、渗滤液处理量增大、电费涨价、创文创卫工作推进及城市管理各项工作任务的增加，各项成本均有所增加，全年支出</w:t>
      </w:r>
      <w:r>
        <w:rPr>
          <w:rFonts w:hint="eastAsia" w:ascii="仿宋" w:hAnsi="仿宋" w:eastAsia="仿宋"/>
          <w:sz w:val="32"/>
          <w:szCs w:val="32"/>
        </w:rPr>
        <w:t>2905.3</w:t>
      </w:r>
      <w:r>
        <w:rPr>
          <w:rFonts w:hint="eastAsia" w:ascii="仿宋" w:hAnsi="仿宋" w:eastAsia="仿宋"/>
          <w:sz w:val="32"/>
          <w:szCs w:val="32"/>
          <w:lang w:val="en-US" w:eastAsia="zh-CN"/>
        </w:rPr>
        <w:t>8</w:t>
      </w:r>
      <w:r>
        <w:rPr>
          <w:rFonts w:hint="eastAsia" w:ascii="仿宋" w:hAnsi="仿宋" w:eastAsia="仿宋"/>
          <w:color w:val="333333"/>
          <w:sz w:val="32"/>
          <w:szCs w:val="32"/>
        </w:rPr>
        <w:t>万元，追加经费主要是人员经费提标以及拆违控违、文明创建、违停抄牌系统、渗滤液应急处理、执法车辆购置等项目经费支出。各项经费的支出在市财政、审计和局财经工作领导小组指导下规范、高效使用，通过内部考核和绩效评价，推动城市管理工作有序开展，执法和服务更规范，城市市容市貌明显提升，市民对城市管理工作满意度明显提高，助力我市全国文明城市和国家卫生城市创建。同时，通过保障城市管理日常工作及专项经费支出，将预算与实际工作完成情况相结合，有效提高工作主动性，确保了项目可持续发展。</w:t>
      </w:r>
    </w:p>
    <w:p>
      <w:pPr>
        <w:pStyle w:val="7"/>
        <w:spacing w:before="0" w:beforeAutospacing="0" w:after="0" w:afterAutospacing="0" w:line="600" w:lineRule="exact"/>
        <w:ind w:firstLine="640" w:firstLineChars="200"/>
        <w:jc w:val="both"/>
        <w:textAlignment w:val="center"/>
        <w:rPr>
          <w:rFonts w:ascii="楷体" w:hAnsi="楷体" w:eastAsia="楷体"/>
          <w:color w:val="333333"/>
          <w:sz w:val="32"/>
          <w:szCs w:val="32"/>
        </w:rPr>
      </w:pPr>
      <w:r>
        <w:rPr>
          <w:rFonts w:hint="eastAsia" w:ascii="楷体" w:hAnsi="楷体" w:eastAsia="楷体"/>
          <w:color w:val="333333"/>
          <w:sz w:val="32"/>
          <w:szCs w:val="32"/>
          <w:lang w:val="en-US" w:eastAsia="zh-CN"/>
        </w:rPr>
        <w:t>2、</w:t>
      </w:r>
      <w:r>
        <w:rPr>
          <w:rFonts w:hint="eastAsia" w:ascii="楷体" w:hAnsi="楷体" w:eastAsia="楷体"/>
          <w:color w:val="333333"/>
          <w:sz w:val="32"/>
          <w:szCs w:val="32"/>
        </w:rPr>
        <w:t>单位项目资金绩效分析</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2022年本单位共支出项目资金</w:t>
      </w:r>
      <w:r>
        <w:rPr>
          <w:rFonts w:hint="eastAsia" w:ascii="仿宋" w:hAnsi="仿宋" w:eastAsia="仿宋"/>
          <w:sz w:val="32"/>
          <w:szCs w:val="32"/>
        </w:rPr>
        <w:t>2600.4</w:t>
      </w:r>
      <w:r>
        <w:rPr>
          <w:rFonts w:hint="eastAsia" w:ascii="仿宋" w:hAnsi="仿宋" w:eastAsia="仿宋"/>
          <w:sz w:val="32"/>
          <w:szCs w:val="32"/>
          <w:lang w:val="en-US" w:eastAsia="zh-CN"/>
        </w:rPr>
        <w:t>9</w:t>
      </w:r>
      <w:r>
        <w:rPr>
          <w:rFonts w:hint="eastAsia" w:ascii="仿宋" w:hAnsi="仿宋" w:eastAsia="仿宋"/>
          <w:color w:val="333333"/>
          <w:sz w:val="32"/>
          <w:szCs w:val="32"/>
        </w:rPr>
        <w:t>万元，其中主要包括拆违控违、节假日氛围布置、智慧路灯、文明创建、城管执法、渗滤液处理、执法用车购置等项目，全部项目纳入绩效评价范围，资金由财政足额保障，为城市管理工作提供强有力的支持，助力全国文明城市和国家卫生城市的创建。现将智慧路灯项目绩效情况进行分析：</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1</w:t>
      </w:r>
      <w:r>
        <w:rPr>
          <w:rFonts w:hint="eastAsia" w:ascii="仿宋" w:hAnsi="仿宋" w:eastAsia="仿宋"/>
          <w:color w:val="333333"/>
          <w:sz w:val="32"/>
          <w:szCs w:val="32"/>
          <w:lang w:eastAsia="zh-CN"/>
        </w:rPr>
        <w:t>）</w:t>
      </w:r>
      <w:r>
        <w:rPr>
          <w:rFonts w:hint="eastAsia" w:ascii="仿宋" w:hAnsi="仿宋" w:eastAsia="仿宋"/>
          <w:color w:val="333333"/>
          <w:sz w:val="32"/>
          <w:szCs w:val="32"/>
        </w:rPr>
        <w:t>项目基本情况简介</w:t>
      </w:r>
    </w:p>
    <w:p>
      <w:pPr>
        <w:pStyle w:val="7"/>
        <w:spacing w:before="0" w:beforeAutospacing="0" w:after="0" w:afterAutospacing="0" w:line="600" w:lineRule="exact"/>
        <w:ind w:firstLine="640" w:firstLineChars="200"/>
        <w:jc w:val="both"/>
        <w:textAlignment w:val="center"/>
        <w:rPr>
          <w:rFonts w:ascii="仿宋" w:hAnsi="仿宋" w:eastAsia="仿宋"/>
          <w:sz w:val="32"/>
          <w:szCs w:val="32"/>
        </w:rPr>
      </w:pPr>
      <w:r>
        <w:rPr>
          <w:rFonts w:hint="eastAsia" w:ascii="仿宋" w:hAnsi="仿宋" w:eastAsia="仿宋"/>
          <w:sz w:val="32"/>
          <w:szCs w:val="32"/>
        </w:rPr>
        <w:t>项目申报及前期工作经费用于跑马岭路垃圾中转站的前期申报开支；协管员工作经费用于50名协管员的辅助执法的劳务费、执服以及其他等支出；三治项目主要是用于市政工程临时应急抢修抢建的工程支出；城市维护费主要用于拆违控违、影响城区市容市貌的户外广告清理、执法车辆购置及维护费用、违停抄牌系统和办公楼维修维护等支出；污水处理厂提标改造项目用于滤布滤池、高效沉淀地、污泥脱水机房等建设支出；节假日氛围布置项目用于法定节假日国旗、中国结、道旗、绿化、亮化等氛围布置劳务及维护费用支出；城区智慧路灯项目用于城区路灯的电费及必要照明设施的维修维护等支出；乡村振兴帮扶驻村工作经费用于驻村工作队员的差旅费用、办公设备添置等支出；洞庭湖区域防汛抢险用于防汛抢险期间费用的支出；益沅一级公路社会道口维护和硬化用于益沅一级公路沅江辖区内多处社会道口维护和硬化支出；渗滤液应急处理费及技术改造费用用于垃圾场长期渗滤液处理能力不足导致垃圾填埋场一库区积存大量渗滤液的处理以及对一、二库区渗滤液处理的技术改造。。</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2</w:t>
      </w:r>
      <w:r>
        <w:rPr>
          <w:rFonts w:hint="eastAsia" w:ascii="仿宋" w:hAnsi="仿宋" w:eastAsia="仿宋"/>
          <w:color w:val="333333"/>
          <w:sz w:val="32"/>
          <w:szCs w:val="32"/>
          <w:lang w:eastAsia="zh-CN"/>
        </w:rPr>
        <w:t>）</w:t>
      </w:r>
      <w:r>
        <w:rPr>
          <w:rFonts w:hint="eastAsia" w:ascii="仿宋" w:hAnsi="仿宋" w:eastAsia="仿宋"/>
          <w:color w:val="333333"/>
          <w:sz w:val="32"/>
          <w:szCs w:val="32"/>
        </w:rPr>
        <w:t>项目资金使用及管理情况</w:t>
      </w:r>
    </w:p>
    <w:p>
      <w:pPr>
        <w:pStyle w:val="7"/>
        <w:spacing w:before="0" w:beforeAutospacing="0" w:after="0" w:afterAutospacing="0" w:line="600" w:lineRule="exact"/>
        <w:ind w:firstLine="640" w:firstLineChars="200"/>
        <w:jc w:val="both"/>
        <w:textAlignment w:val="center"/>
        <w:rPr>
          <w:rFonts w:ascii="仿宋" w:hAnsi="仿宋" w:eastAsia="仿宋"/>
          <w:sz w:val="32"/>
          <w:szCs w:val="32"/>
        </w:rPr>
      </w:pPr>
      <w:r>
        <w:rPr>
          <w:rFonts w:hint="eastAsia" w:ascii="仿宋" w:hAnsi="仿宋" w:eastAsia="仿宋"/>
          <w:sz w:val="32"/>
          <w:szCs w:val="32"/>
        </w:rPr>
        <w:t>项目申报及前期工作经费投资24万元，全部为财政安排，实际支出24万元；协管员工作经费投资300万元，全部为财政安排，实际支出300万元；三治项目投资302.29万元，实际支出302.29万元；城市维护费投资384.65万元，实际支出384.65万元；污水处理厂提标改造项目投资274.62万元，实际支出274.62万元；节假日氛围布置项目投资231.34万元，实际支出231.34万元；城区智慧路灯项目投资330万元，实际支出330万元；乡村振兴帮扶驻村工作经费用投资4万元，实际支出4万元；洞庭湖区域防汛抢险投资9.3万元，实际支出9.3万元；益沅一级公路社会道口维护和硬化投资27.68万元，实际支出27.68万元；渗滤液应急处理费及技术改造费用投资712.6万元，实际支出712.6万元。</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3</w:t>
      </w:r>
      <w:r>
        <w:rPr>
          <w:rFonts w:hint="eastAsia" w:ascii="仿宋" w:hAnsi="仿宋" w:eastAsia="仿宋"/>
          <w:color w:val="333333"/>
          <w:sz w:val="32"/>
          <w:szCs w:val="32"/>
          <w:lang w:eastAsia="zh-CN"/>
        </w:rPr>
        <w:t>）</w:t>
      </w:r>
      <w:r>
        <w:rPr>
          <w:rFonts w:hint="eastAsia" w:ascii="仿宋" w:hAnsi="仿宋" w:eastAsia="仿宋"/>
          <w:color w:val="333333"/>
          <w:sz w:val="32"/>
          <w:szCs w:val="32"/>
        </w:rPr>
        <w:t>项目组织实施情况</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项目依照我局《财务管理制度》《专项资金管理办法》《政府采购内控制度》等组织实施，由我局重点办组织实施，竣工验收由业务股室牵头，机关纪委监督，办公室、财务股、督查股等部门参与，全过程监督项目实施。</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4</w:t>
      </w:r>
      <w:r>
        <w:rPr>
          <w:rFonts w:hint="eastAsia" w:ascii="仿宋" w:hAnsi="仿宋" w:eastAsia="仿宋"/>
          <w:color w:val="333333"/>
          <w:sz w:val="32"/>
          <w:szCs w:val="32"/>
          <w:lang w:eastAsia="zh-CN"/>
        </w:rPr>
        <w:t>）</w:t>
      </w:r>
      <w:r>
        <w:rPr>
          <w:rFonts w:hint="eastAsia" w:ascii="仿宋" w:hAnsi="仿宋" w:eastAsia="仿宋"/>
          <w:color w:val="333333"/>
          <w:sz w:val="32"/>
          <w:szCs w:val="32"/>
        </w:rPr>
        <w:t>项目绩效情况</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通过财政对项目的资金保障，专人负责项目推进实施，进一步节约政府城市管理和拆违控违成本，提升城市亮化水平，减少城市市容乱象，改善城市市民生活环境，提升城管执法队伍形象，市容秩序规范有序，市民对城市管理工作满意度持续提升。</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5</w:t>
      </w:r>
      <w:r>
        <w:rPr>
          <w:rFonts w:hint="eastAsia" w:ascii="仿宋" w:hAnsi="仿宋" w:eastAsia="仿宋"/>
          <w:color w:val="333333"/>
          <w:sz w:val="32"/>
          <w:szCs w:val="32"/>
          <w:lang w:eastAsia="zh-CN"/>
        </w:rPr>
        <w:t>）</w:t>
      </w:r>
      <w:r>
        <w:rPr>
          <w:rFonts w:hint="eastAsia" w:ascii="仿宋" w:hAnsi="仿宋" w:eastAsia="仿宋"/>
          <w:color w:val="333333"/>
          <w:sz w:val="32"/>
          <w:szCs w:val="32"/>
        </w:rPr>
        <w:t>综合评价情况及评价结论</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我局按照《沅江市财政局关于做好2022年度预算绩效自主工作的通知》（沅财绩﹝2023﹞1号）要求，组织本部门开展绩效自评工作。部门整体绩效自评分91分，为“优”等级。（附相关评分表）</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6．绩效评价结果应用建议</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绩效评价结果已在市人民政府门户网站上公开，接受社会监督，同时将绩效评价结果与预算安排相结合，加大评价结果向社会公开的力度，提高资金使用效率。</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eastAsia="zh-CN"/>
        </w:rPr>
        <w:t>（</w:t>
      </w:r>
      <w:r>
        <w:rPr>
          <w:rFonts w:hint="eastAsia" w:ascii="仿宋" w:hAnsi="仿宋" w:eastAsia="仿宋"/>
          <w:color w:val="333333"/>
          <w:sz w:val="32"/>
          <w:szCs w:val="32"/>
          <w:lang w:val="en-US" w:eastAsia="zh-CN"/>
        </w:rPr>
        <w:t>7</w:t>
      </w:r>
      <w:r>
        <w:rPr>
          <w:rFonts w:hint="eastAsia" w:ascii="仿宋" w:hAnsi="仿宋" w:eastAsia="仿宋"/>
          <w:color w:val="333333"/>
          <w:sz w:val="32"/>
          <w:szCs w:val="32"/>
          <w:lang w:eastAsia="zh-CN"/>
        </w:rPr>
        <w:t>）</w:t>
      </w:r>
      <w:r>
        <w:rPr>
          <w:rFonts w:hint="eastAsia" w:ascii="仿宋" w:hAnsi="仿宋" w:eastAsia="仿宋"/>
          <w:color w:val="333333"/>
          <w:sz w:val="32"/>
          <w:szCs w:val="32"/>
        </w:rPr>
        <w:t>主要经验及做法</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rPr>
        <w:t>项目支出实施先申报后支出，达到政府采购限额严格按照相关要求执行，原则上不新增项目支出，确因工作需要新增的项目支出，需明确资金来源后经局</w:t>
      </w:r>
      <w:r>
        <w:rPr>
          <w:rFonts w:hint="eastAsia" w:ascii="仿宋" w:hAnsi="仿宋" w:eastAsia="仿宋"/>
          <w:color w:val="333333"/>
          <w:sz w:val="32"/>
          <w:szCs w:val="32"/>
          <w:lang w:eastAsia="zh-CN"/>
        </w:rPr>
        <w:t>党组</w:t>
      </w:r>
      <w:r>
        <w:rPr>
          <w:rFonts w:hint="eastAsia" w:ascii="仿宋" w:hAnsi="仿宋" w:eastAsia="仿宋"/>
          <w:color w:val="333333"/>
          <w:sz w:val="32"/>
          <w:szCs w:val="32"/>
        </w:rPr>
        <w:t>会讨论再组织实施。</w:t>
      </w:r>
    </w:p>
    <w:p>
      <w:pPr>
        <w:pStyle w:val="7"/>
        <w:spacing w:before="0" w:beforeAutospacing="0" w:after="0" w:afterAutospacing="0" w:line="600" w:lineRule="exact"/>
        <w:ind w:firstLine="640" w:firstLineChars="200"/>
        <w:jc w:val="both"/>
        <w:textAlignment w:val="center"/>
        <w:rPr>
          <w:rFonts w:ascii="黑体" w:hAnsi="黑体" w:eastAsia="黑体"/>
          <w:color w:val="000000"/>
          <w:sz w:val="32"/>
          <w:szCs w:val="32"/>
        </w:rPr>
      </w:pPr>
      <w:r>
        <w:rPr>
          <w:rFonts w:hint="eastAsia" w:ascii="楷体" w:hAnsi="楷体" w:eastAsia="楷体" w:cs="楷体"/>
          <w:b/>
          <w:bCs/>
          <w:sz w:val="32"/>
          <w:szCs w:val="32"/>
          <w:lang w:eastAsia="zh-CN"/>
        </w:rPr>
        <w:t>（二）</w:t>
      </w:r>
      <w:r>
        <w:rPr>
          <w:rFonts w:hint="eastAsia" w:ascii="黑体" w:hAnsi="黑体" w:eastAsia="黑体"/>
          <w:color w:val="000000"/>
          <w:sz w:val="32"/>
          <w:szCs w:val="32"/>
        </w:rPr>
        <w:t>存在的主要问题</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预算编制科学和合理性有待提升。提高预算编制能力，强化预算执行，缩小预算差距。</w:t>
      </w:r>
    </w:p>
    <w:p>
      <w:pPr>
        <w:pStyle w:val="7"/>
        <w:spacing w:before="0" w:beforeAutospacing="0" w:after="0" w:afterAutospacing="0" w:line="600" w:lineRule="exact"/>
        <w:ind w:firstLine="640" w:firstLineChars="200"/>
        <w:jc w:val="both"/>
        <w:textAlignment w:val="center"/>
        <w:rPr>
          <w:rFonts w:ascii="仿宋" w:hAnsi="仿宋" w:eastAsia="仿宋"/>
          <w:color w:val="333333"/>
          <w:sz w:val="32"/>
          <w:szCs w:val="32"/>
        </w:rPr>
      </w:pP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强化项目申报和管理。城市管理很多急且任务重的工作，存在未列入项目预算但又急需执行的项目，由于项目申报流程需要及有资金缺口，影响项目执行。</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tabs>
          <w:tab w:val="left" w:pos="360"/>
        </w:tabs>
        <w:spacing w:line="360" w:lineRule="auto"/>
        <w:ind w:firstLine="1280" w:firstLineChars="4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1．财政拨款收入：指单位本年度从同级财政部门取得的各类财政拨款。</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2．上级补助收入：指事业单位从主管部门和上级单位取得的非财政补助收入。</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5．对附属单位补助支出：指事业单位用财政拨款收入之外的收入对附属单位补助发生的支出。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6．经营支出：指事业单位在专业业务活动及其辅助活动之外开展非独立核算经营活动发生的支出。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7．上缴上级支出：指事业单位按照财政部门和主管部门的规定上缴上级单位的支出。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8．项目支出：指在为完成特定的工作任务和事业发展目标所发生的支出。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9．基本支出：指为保障机构正常运转、完成日常工作任务而发生的支出，包括人员经费和公用经费。</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10．年末结转和结余资金：指本年度或以前年度预算安排、因客观条件发生变化无法按原计划实施，需要延迟到以后年度按有关规定继续使用的资金。</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11．结余分配：指事业单位按规定对非财政拨款结余资金提取的专用基金、缴纳的所得税和转入非财政拨款结余等。</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12．年初结转和结余：指单位上年结转本年使用的基本支出结转、项目支出结转和结余和经营结余。</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13．使用非财政拨款结余：指事业单位使用非财政拨款结余（原事业基金）弥补当年收支差额的数额。</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14．其他收入：指单位取得的除上述“财政拨款收入”、“事业收入”、“经营收入”等以外的各项收入。</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15．事业收入：指事业单位开展专业业务活动及其辅助活动取得的收入，事业单位收到的财政专户实际核拨的教育收费等资金在此反映。</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16．经营收入：指事业单位在专业业务活动及其辅助活动之外开展非独立核算经营活动取得的收入。</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17．附属单位上缴收入：指事业单位附属独立核算单位按照有关规定上缴的收入。</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18．一般公共服务支出（类）组织事务（款）其他组织事务支出（项）：反映除上述项目以外其他用于中国共产党组织部门的事务 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19．科学技术支出（类）其他科学技术支出（款）其他科学技术支出（项）：反映其他科学技术支出中除以上各项外用于科技方面的支出。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20．卫生健康支出（类）公共卫生（款）重大公共卫生服务（项）：反映重大疾病、重大传染病预防控制等重大公共卫生服务项 目支出。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21．节能环保支出（类）污染防治（款）其他污染防治支出（项）：反映除上述项目以外其他用于污染防治方面的支出。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22．城乡社区支出（类）城乡社区管理事务（款）行政运行（项）：反映行政单位（包括实行公务员管理的事业单位）未单独 设置项级科目的其他项目支出。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23．城乡社区支出（类）城乡社区管理事务（款）一般行政管理事务（项）：反映为行政单位（包括实行公务员管理的事业单位）提供 后勤服务的各类后勤服务中心、医务室等附属事业单位的支 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24．城乡社区支出（类）城乡社区管理事务（款）城管执法（项）：反映城市管理综合行政执法、加强城市市容和环境卫生管理 等方面的支出。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25．城乡社区支出（类）城乡社区管理事务（款）其他城乡社区管理事务支出（项）：反映除上述项目以外其他用于城乡社区管理事务方面的 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26．农林水支出（类）农业农村（款）农业资源保护修复与利用（项）：反映用于耕地质量保护、草原草场利用，渔业水域资源环境 保护，农业品种改良提升，以及农业生物资源调研收集、鉴定 评价、保存利用等方面的支出。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27．住房保障支出（类）住房改革支出（款）住房公积金（项）：反映行政事业单位按人力资源和社会保障部、财政部规定的 基本工资和津贴补贴以及规定比例为职工缴纳的住房公积金。</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28．城乡社区支出（类）国有土地使用权出让收入安排的支出（款）城市建设支出（项）：反映土地出让收入用于完善国有土地使用功能的配套设施建 设和城市基础设施建设支出。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29．其他支出（类）其他政府性基金及对应专项债务收入安排的支出（款）其他政府性基金安排的支出（项）：反映其他政府性基金安排的支出（包括用以前年度欠款收入安排的支出）。</w:t>
      </w:r>
    </w:p>
    <w:p>
      <w:pPr>
        <w:tabs>
          <w:tab w:val="left" w:pos="360"/>
        </w:tabs>
        <w:spacing w:line="360" w:lineRule="auto"/>
        <w:ind w:left="420" w:leftChars="200" w:firstLine="358" w:firstLineChars="11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30．抗疫特别国债安排的支出（类）基础设施建设（款）生态环境治理（项）：反映抗疫特别国债资金安排的污水垃圾处理等生态环境治理支出。</w:t>
      </w:r>
    </w:p>
    <w:p>
      <w:pPr>
        <w:pStyle w:val="2"/>
        <w:rPr>
          <w:rFonts w:hint="eastAsia"/>
        </w:rPr>
      </w:pPr>
    </w:p>
    <w:p>
      <w:pPr>
        <w:pStyle w:val="12"/>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楷体" w:hAnsi="楷体" w:eastAsia="楷体" w:cs="楷体"/>
          <w:b/>
          <w:bCs/>
          <w:i/>
          <w:color w:val="auto"/>
          <w:kern w:val="0"/>
          <w:sz w:val="32"/>
          <w:szCs w:val="32"/>
          <w:lang w:val="en-US" w:eastAsia="zh-CN" w:bidi="ar-SA"/>
        </w:rPr>
        <w:t>（名词解释应包含本部门专有名词，如省财政厅应有对“财政事务”科目的解释，可参考中央相关部门的名词解释）</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4E82BD"/>
    <w:multiLevelType w:val="singleLevel"/>
    <w:tmpl w:val="2C4E82BD"/>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YTA0NDQwMGUyOTQ2MjM5NTA5YzE3ZjI4NTEwYjIifQ=="/>
  </w:docVars>
  <w:rsids>
    <w:rsidRoot w:val="004506F9"/>
    <w:rsid w:val="0002229B"/>
    <w:rsid w:val="000273BD"/>
    <w:rsid w:val="00040CBC"/>
    <w:rsid w:val="000415B7"/>
    <w:rsid w:val="00041E3F"/>
    <w:rsid w:val="00055DAA"/>
    <w:rsid w:val="00061F7B"/>
    <w:rsid w:val="000658A3"/>
    <w:rsid w:val="00074155"/>
    <w:rsid w:val="000A3F69"/>
    <w:rsid w:val="00103957"/>
    <w:rsid w:val="00115960"/>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1BF0"/>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7E514C"/>
    <w:rsid w:val="05A46C38"/>
    <w:rsid w:val="08D062B9"/>
    <w:rsid w:val="0A7F7F97"/>
    <w:rsid w:val="0C821028"/>
    <w:rsid w:val="10DE0E65"/>
    <w:rsid w:val="13367EB4"/>
    <w:rsid w:val="160E412E"/>
    <w:rsid w:val="1ACA51BC"/>
    <w:rsid w:val="1B4F70E9"/>
    <w:rsid w:val="1C7541C0"/>
    <w:rsid w:val="1D022362"/>
    <w:rsid w:val="22FC5D2B"/>
    <w:rsid w:val="28410773"/>
    <w:rsid w:val="28A26B50"/>
    <w:rsid w:val="2C977EB0"/>
    <w:rsid w:val="2D57250A"/>
    <w:rsid w:val="330419F2"/>
    <w:rsid w:val="34677588"/>
    <w:rsid w:val="34F66F78"/>
    <w:rsid w:val="36CB1E78"/>
    <w:rsid w:val="382C137B"/>
    <w:rsid w:val="389C0814"/>
    <w:rsid w:val="38E22B4C"/>
    <w:rsid w:val="41CB16D9"/>
    <w:rsid w:val="4280659A"/>
    <w:rsid w:val="437B6926"/>
    <w:rsid w:val="454809AA"/>
    <w:rsid w:val="47612D9F"/>
    <w:rsid w:val="47722CD7"/>
    <w:rsid w:val="4A032B06"/>
    <w:rsid w:val="4A376AA8"/>
    <w:rsid w:val="4A64568A"/>
    <w:rsid w:val="4DED2E85"/>
    <w:rsid w:val="4FF6046B"/>
    <w:rsid w:val="50E2622A"/>
    <w:rsid w:val="51081910"/>
    <w:rsid w:val="52805A92"/>
    <w:rsid w:val="5412686F"/>
    <w:rsid w:val="541530E8"/>
    <w:rsid w:val="56D774FE"/>
    <w:rsid w:val="5777D4F5"/>
    <w:rsid w:val="57AA4377"/>
    <w:rsid w:val="5F663E55"/>
    <w:rsid w:val="5FC6BB1E"/>
    <w:rsid w:val="5FF720F1"/>
    <w:rsid w:val="618D2EFA"/>
    <w:rsid w:val="62055864"/>
    <w:rsid w:val="6319520A"/>
    <w:rsid w:val="64892347"/>
    <w:rsid w:val="64AB009F"/>
    <w:rsid w:val="66731D0B"/>
    <w:rsid w:val="66AA11ED"/>
    <w:rsid w:val="672518E9"/>
    <w:rsid w:val="67430B7A"/>
    <w:rsid w:val="67F43487"/>
    <w:rsid w:val="69875E6D"/>
    <w:rsid w:val="71F22CBF"/>
    <w:rsid w:val="72A9452A"/>
    <w:rsid w:val="737D59BA"/>
    <w:rsid w:val="77C37683"/>
    <w:rsid w:val="77C71F8A"/>
    <w:rsid w:val="79FF515B"/>
    <w:rsid w:val="7A1739D8"/>
    <w:rsid w:val="7E9F11B4"/>
    <w:rsid w:val="7EE8155B"/>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Calibri" w:hAnsi="Calibri" w:eastAsia="宋体"/>
      <w:kern w:val="2"/>
      <w:sz w:val="21"/>
      <w:szCs w:val="20"/>
      <w:lang w:val="en-US" w:eastAsia="zh-CN" w:bidi="ar-SA"/>
    </w:rPr>
  </w:style>
  <w:style w:type="paragraph" w:styleId="3">
    <w:name w:val="Body Text"/>
    <w:basedOn w:val="1"/>
    <w:qFormat/>
    <w:uiPriority w:val="1"/>
    <w:pPr>
      <w:widowControl w:val="0"/>
      <w:jc w:val="both"/>
    </w:pPr>
    <w:rPr>
      <w:rFonts w:ascii="Calibri" w:hAnsi="Calibri" w:eastAsia="宋体"/>
      <w:kern w:val="2"/>
      <w:sz w:val="32"/>
      <w:szCs w:val="32"/>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font01"/>
    <w:basedOn w:val="9"/>
    <w:qFormat/>
    <w:uiPriority w:val="0"/>
    <w:rPr>
      <w:rFonts w:hint="eastAsia" w:ascii="宋体" w:hAnsi="宋体" w:eastAsia="宋体" w:cs="宋体"/>
      <w:color w:val="000000"/>
      <w:sz w:val="22"/>
      <w:szCs w:val="22"/>
      <w:u w:val="none"/>
    </w:rPr>
  </w:style>
  <w:style w:type="character" w:customStyle="1" w:styleId="16">
    <w:name w:val="font21"/>
    <w:basedOn w:val="9"/>
    <w:qFormat/>
    <w:uiPriority w:val="0"/>
    <w:rPr>
      <w:rFonts w:hint="eastAsia" w:ascii="宋体" w:hAnsi="宋体" w:eastAsia="宋体" w:cs="宋体"/>
      <w:color w:val="000000"/>
      <w:sz w:val="24"/>
      <w:szCs w:val="24"/>
      <w:u w:val="none"/>
    </w:rPr>
  </w:style>
  <w:style w:type="character" w:customStyle="1" w:styleId="17">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11756</Words>
  <Characters>16409</Characters>
  <Lines>63</Lines>
  <Paragraphs>18</Paragraphs>
  <TotalTime>8</TotalTime>
  <ScaleCrop>false</ScaleCrop>
  <LinksUpToDate>false</LinksUpToDate>
  <CharactersWithSpaces>18086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敏</cp:lastModifiedBy>
  <cp:lastPrinted>2023-08-15T09:28:00Z</cp:lastPrinted>
  <dcterms:modified xsi:type="dcterms:W3CDTF">2023-09-06T01:05:59Z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ADE280C4F0E645F0BBB38F0F6AA2DD82_13</vt:lpwstr>
  </property>
</Properties>
</file>