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w:t>
      </w:r>
      <w:r>
        <w:rPr>
          <w:rFonts w:hint="eastAsia" w:ascii="方正小标宋_GBK" w:hAnsi="方正小标宋_GBK" w:eastAsia="方正小标宋_GBK" w:cs="方正小标宋_GBK"/>
          <w:sz w:val="72"/>
          <w:szCs w:val="72"/>
          <w:lang w:val="en-US" w:eastAsia="zh-CN"/>
        </w:rPr>
        <w:t>2</w:t>
      </w:r>
      <w:r>
        <w:rPr>
          <w:rFonts w:hint="eastAsia" w:ascii="方正小标宋_GBK" w:hAnsi="方正小标宋_GBK" w:eastAsia="方正小标宋_GBK" w:cs="方正小标宋_GBK"/>
          <w:sz w:val="72"/>
          <w:szCs w:val="72"/>
        </w:rPr>
        <w:t>年度</w:t>
      </w: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沅江市市场监督管理局</w:t>
      </w:r>
      <w:r>
        <w:rPr>
          <w:rFonts w:hint="eastAsia" w:ascii="方正小标宋_GBK" w:hAnsi="方正小标宋_GBK" w:eastAsia="方正小标宋_GBK" w:cs="方正小标宋_GBK"/>
          <w:sz w:val="72"/>
          <w:szCs w:val="72"/>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hAnsi="黑体" w:cs="黑体"/>
          <w:b w:val="0"/>
          <w:bCs/>
          <w:sz w:val="28"/>
          <w:szCs w:val="28"/>
          <w:lang w:eastAsia="zh-CN"/>
        </w:rPr>
        <w:t>单位</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rPr>
        <w:t>第一部分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沅江市市场监督管理局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负责市场综合监督管理。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负责市场主体统一登记注册。</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负责市场监督综合执法工作。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sz w:val="32"/>
          <w:szCs w:val="32"/>
        </w:rPr>
        <w:t>负责权限内反垄断统一执法。</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hint="eastAsia" w:ascii="仿宋_GB2312" w:hAnsi="仿宋_GB2312" w:eastAsia="仿宋_GB2312" w:cs="仿宋_GB2312"/>
          <w:sz w:val="32"/>
          <w:szCs w:val="32"/>
        </w:rPr>
        <w:t>负责监督管理市场秩序。</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w:t>
      </w:r>
      <w:r>
        <w:rPr>
          <w:rFonts w:hint="eastAsia" w:ascii="仿宋_GB2312" w:hAnsi="仿宋_GB2312" w:eastAsia="仿宋_GB2312" w:cs="仿宋_GB2312"/>
          <w:sz w:val="32"/>
          <w:szCs w:val="32"/>
        </w:rPr>
        <w:t>负责宏观质量管理。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w:t>
      </w:r>
      <w:r>
        <w:rPr>
          <w:rFonts w:hint="eastAsia" w:ascii="仿宋_GB2312" w:hAnsi="仿宋_GB2312" w:eastAsia="仿宋_GB2312" w:cs="仿宋_GB2312"/>
          <w:sz w:val="32"/>
          <w:szCs w:val="32"/>
        </w:rPr>
        <w:t>负责产品质量安全监督管理。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w:t>
      </w:r>
      <w:r>
        <w:rPr>
          <w:rFonts w:hint="eastAsia" w:ascii="仿宋_GB2312" w:hAnsi="仿宋_GB2312" w:eastAsia="仿宋_GB2312" w:cs="仿宋_GB2312"/>
          <w:sz w:val="32"/>
          <w:szCs w:val="32"/>
        </w:rPr>
        <w:t>负责特种设备安全监督管理。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w:t>
      </w:r>
      <w:r>
        <w:rPr>
          <w:rFonts w:hint="eastAsia" w:ascii="仿宋_GB2312" w:hAnsi="仿宋_GB2312" w:eastAsia="仿宋_GB2312" w:cs="仿宋_GB2312"/>
          <w:sz w:val="32"/>
          <w:szCs w:val="32"/>
        </w:rPr>
        <w:t>负责食品安全监督管理综合协调。</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仿宋_GB2312" w:hAnsi="仿宋_GB2312" w:eastAsia="仿宋_GB2312" w:cs="仿宋_GB2312"/>
          <w:sz w:val="32"/>
          <w:szCs w:val="32"/>
        </w:rPr>
        <w:t>负责食品安全监督管理。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（十一）</w:t>
      </w:r>
      <w:r>
        <w:rPr>
          <w:rFonts w:hint="eastAsia" w:ascii="仿宋_GB2312" w:hAnsi="仿宋_GB2312" w:eastAsia="仿宋_GB2312" w:cs="仿宋_GB2312"/>
          <w:sz w:val="32"/>
          <w:szCs w:val="32"/>
        </w:rPr>
        <w:t>负责统一管理计量工作。</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（十二）</w:t>
      </w:r>
      <w:r>
        <w:rPr>
          <w:rFonts w:hint="eastAsia" w:ascii="仿宋_GB2312" w:hAnsi="仿宋_GB2312" w:eastAsia="仿宋_GB2312" w:cs="仿宋_GB2312"/>
          <w:sz w:val="32"/>
          <w:szCs w:val="32"/>
        </w:rPr>
        <w:t>负责统一管理标准化工作。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（十三）</w:t>
      </w:r>
      <w:r>
        <w:rPr>
          <w:rFonts w:hint="eastAsia" w:ascii="仿宋_GB2312" w:hAnsi="仿宋_GB2312" w:eastAsia="仿宋_GB2312" w:cs="仿宋_GB2312"/>
          <w:sz w:val="32"/>
          <w:szCs w:val="32"/>
        </w:rPr>
        <w:t>负责统一管理检验检测工作。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（十四）</w:t>
      </w:r>
      <w:r>
        <w:rPr>
          <w:rFonts w:hint="eastAsia" w:ascii="仿宋_GB2312" w:hAnsi="仿宋_GB2312" w:eastAsia="仿宋_GB2312" w:cs="仿宋_GB2312"/>
          <w:sz w:val="32"/>
          <w:szCs w:val="32"/>
        </w:rPr>
        <w:t>负责统一管理、监督和综合协调全市认证认可工作。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（十五）</w:t>
      </w:r>
      <w:r>
        <w:rPr>
          <w:rFonts w:hint="eastAsia" w:ascii="仿宋_GB2312" w:hAnsi="仿宋_GB2312" w:eastAsia="仿宋_GB2312" w:cs="仿宋_GB2312"/>
          <w:sz w:val="32"/>
          <w:szCs w:val="32"/>
        </w:rPr>
        <w:t>负责实施知识产权战略，推进知识产权强市建设。</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（十六）</w:t>
      </w:r>
      <w:r>
        <w:rPr>
          <w:rFonts w:hint="eastAsia" w:ascii="仿宋_GB2312" w:hAnsi="仿宋_GB2312" w:eastAsia="仿宋_GB2312" w:cs="仿宋_GB2312"/>
          <w:sz w:val="32"/>
          <w:szCs w:val="32"/>
        </w:rPr>
        <w:t>负责组织开展有关商品和服务领域消费维权工作。</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（十七）</w:t>
      </w:r>
      <w:r>
        <w:rPr>
          <w:rFonts w:hint="eastAsia" w:ascii="仿宋_GB2312" w:hAnsi="仿宋_GB2312" w:eastAsia="仿宋_GB2312" w:cs="仿宋_GB2312"/>
          <w:sz w:val="32"/>
          <w:szCs w:val="32"/>
        </w:rPr>
        <w:t>负责保护知识产权。</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（十八）</w:t>
      </w:r>
      <w:r>
        <w:rPr>
          <w:rFonts w:hint="eastAsia" w:ascii="仿宋_GB2312" w:hAnsi="仿宋_GB2312" w:eastAsia="仿宋_GB2312" w:cs="仿宋_GB2312"/>
          <w:sz w:val="32"/>
          <w:szCs w:val="32"/>
        </w:rPr>
        <w:t>负责知识产权创造运用。</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（十九）</w:t>
      </w:r>
      <w:r>
        <w:rPr>
          <w:rFonts w:hint="eastAsia" w:ascii="仿宋_GB2312" w:hAnsi="仿宋_GB2312" w:eastAsia="仿宋_GB2312" w:cs="仿宋_GB2312"/>
          <w:sz w:val="32"/>
          <w:szCs w:val="32"/>
        </w:rPr>
        <w:t>负责组织开展有关商品和服务领域消费维权工作。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w:t>
      </w:r>
      <w:r>
        <w:rPr>
          <w:rFonts w:hint="eastAsia" w:ascii="仿宋_GB2312" w:hAnsi="仿宋_GB2312" w:eastAsia="仿宋_GB2312" w:cs="仿宋_GB2312"/>
          <w:sz w:val="32"/>
          <w:szCs w:val="32"/>
        </w:rPr>
        <w:t>负责权限内药品、医疗器械、化妆品安全监督管理。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（二十一）</w:t>
      </w:r>
      <w:r>
        <w:rPr>
          <w:rFonts w:hint="eastAsia" w:ascii="仿宋_GB2312" w:hAnsi="仿宋_GB2312" w:eastAsia="仿宋_GB2312" w:cs="仿宋_GB2312"/>
          <w:sz w:val="32"/>
          <w:szCs w:val="32"/>
        </w:rPr>
        <w:t>负责权限内药品、医疗器械、化妆品标准管理和质量管理。</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（二十二）</w:t>
      </w:r>
      <w:r>
        <w:rPr>
          <w:rFonts w:hint="eastAsia" w:ascii="仿宋_GB2312" w:hAnsi="仿宋_GB2312" w:eastAsia="仿宋_GB2312" w:cs="仿宋_GB2312"/>
          <w:sz w:val="32"/>
          <w:szCs w:val="32"/>
        </w:rPr>
        <w:t>负责权限内药品、医疗器械、化妆品上市后风险管理。</w:t>
      </w:r>
    </w:p>
    <w:p>
      <w:pPr>
        <w:autoSpaceDE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（二十三）</w:t>
      </w:r>
      <w:r>
        <w:rPr>
          <w:rFonts w:hint="eastAsia" w:ascii="仿宋_GB2312" w:hAnsi="仿宋_GB2312" w:eastAsia="仿宋_GB2312" w:cs="仿宋_GB2312"/>
          <w:sz w:val="32"/>
          <w:szCs w:val="32"/>
        </w:rPr>
        <w:t>负责全市市场监督管理部门承担的药品、医疗器械、化妆品有关监督管理工作。</w:t>
      </w:r>
    </w:p>
    <w:p>
      <w:pPr>
        <w:autoSpaceDE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（二十四）</w:t>
      </w:r>
      <w:r>
        <w:rPr>
          <w:rFonts w:hint="eastAsia" w:ascii="仿宋_GB2312" w:hAnsi="仿宋_GB2312" w:eastAsia="仿宋_GB2312" w:cs="仿宋_GB2312"/>
          <w:sz w:val="32"/>
          <w:szCs w:val="32"/>
        </w:rPr>
        <w:t>按规定要求，承担对口事业服务机构业务工作的指导、协调和监督职责。</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沅江市市场监督管理局内设机构共2</w:t>
      </w:r>
      <w:r>
        <w:rPr>
          <w:rFonts w:hint="eastAsia" w:ascii="Times New Roman" w:hAnsi="Times New Roman" w:eastAsia="仿宋_GB2312" w:cs="仿宋_GB2312"/>
          <w:bCs/>
          <w:kern w:val="0"/>
          <w:sz w:val="32"/>
          <w:szCs w:val="32"/>
          <w:lang w:val="en-US" w:eastAsia="zh-CN"/>
        </w:rPr>
        <w:t>3</w:t>
      </w:r>
      <w:r>
        <w:rPr>
          <w:rFonts w:hint="eastAsia" w:ascii="Times New Roman" w:hAnsi="Times New Roman" w:eastAsia="仿宋_GB2312" w:cs="仿宋_GB2312"/>
          <w:bCs/>
          <w:kern w:val="0"/>
          <w:sz w:val="32"/>
          <w:szCs w:val="32"/>
        </w:rPr>
        <w:t>个，包括：办公室、政策法规股、财务股、人事股、消费者权益保护股（沅江市消费者委员会办公室）、信用监督管理股（非公经济发展指导中心）、执法稽察股、登记注册股、反垄断和反不正当竞争股（规范直销与打击传销办公室）、价格监督检查股、网络交易和广告监督管理股、质量标准监督管理股（质量强市领导小组办公室）、食品安全协调股（沅江市食品安全委员会办公室）、食品生产安全监督管理股、食品流通安全监督管理股、餐饮服务安全监督管理股、知识产权管理股、特种设备安全监察股（沅江市特种设备事故调查处理办公室）、药品医疗器械监督管理股、投诉举报中心、计量和认证监督管理股、市非公经济组织综合委员会</w:t>
      </w:r>
      <w:r>
        <w:rPr>
          <w:rFonts w:hint="eastAsia" w:ascii="Times New Roman" w:hAnsi="Times New Roman" w:eastAsia="仿宋_GB2312" w:cs="仿宋_GB2312"/>
          <w:bCs/>
          <w:kern w:val="0"/>
          <w:sz w:val="32"/>
          <w:szCs w:val="32"/>
          <w:lang w:eastAsia="zh-CN"/>
        </w:rPr>
        <w:t>、沅江市市场监督管理局工会委员会</w:t>
      </w:r>
      <w:r>
        <w:rPr>
          <w:rFonts w:hint="eastAsia" w:ascii="Times New Roman" w:hAnsi="Times New Roman" w:eastAsia="仿宋_GB2312" w:cs="仿宋_GB2312"/>
          <w:bCs/>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直属公益类事业单位5个，分别是：沅江市市场监管综合行政执法大队、沅江市知识产权和信息服务中心、沅江市市场监督检验所、沅江市计量检定所、沅江市个体私营经济发展指导中心。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下辖13个监督管理所，分别为：沅江市市场监督管理局高新区监督管理所、沅江市市场监督管理局琼湖监督管理所、沅江市市场监督管理局胭脂湖监督管理所、沅江市市场监督管理局新湾监督管理所、沅江市市场监督管理局黄茅洲监督管理所、沅江市市场监督管理局阳罗监督管理所、沅江市市场监督管理局南大监督管理所、沅江市市场监督管理局泗湖山监督管理所、沅江市市场监督管理局草尾监督管理所、沅江市市场监督管理局共华监督管理所、沅江市市场监督管理局南嘴监督管理所、沅江市市场监督管理局茶盘洲监督管理所、沅江市市场监督管理局四季红监督管理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以上部门全部纳入202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年部门决算编制范围。</w:t>
      </w:r>
    </w:p>
    <w:p>
      <w:pPr>
        <w:widowControl/>
        <w:numPr>
          <w:ilvl w:val="0"/>
          <w:numId w:val="2"/>
        </w:numPr>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autoSpaceDE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沅江市市场监督管理局单位部门决算包括：沅江市市场监督管理局本级部门决算。</w:t>
      </w:r>
    </w:p>
    <w:p>
      <w:pPr>
        <w:widowControl/>
        <w:numPr>
          <w:ilvl w:val="0"/>
          <w:numId w:val="0"/>
        </w:numPr>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428" w:type="dxa"/>
        <w:tblInd w:w="0" w:type="dxa"/>
        <w:tblLayout w:type="fixed"/>
        <w:tblCellMar>
          <w:top w:w="0" w:type="dxa"/>
          <w:left w:w="0" w:type="dxa"/>
          <w:bottom w:w="0" w:type="dxa"/>
          <w:right w:w="0" w:type="dxa"/>
        </w:tblCellMar>
      </w:tblPr>
      <w:tblGrid>
        <w:gridCol w:w="980"/>
        <w:gridCol w:w="2265"/>
        <w:gridCol w:w="1575"/>
        <w:gridCol w:w="1560"/>
        <w:gridCol w:w="1785"/>
        <w:gridCol w:w="1605"/>
        <w:gridCol w:w="1590"/>
        <w:gridCol w:w="2130"/>
        <w:gridCol w:w="1938"/>
      </w:tblGrid>
      <w:tr>
        <w:tblPrEx>
          <w:tblCellMar>
            <w:top w:w="0" w:type="dxa"/>
            <w:left w:w="0" w:type="dxa"/>
            <w:bottom w:w="0" w:type="dxa"/>
            <w:right w:w="0" w:type="dxa"/>
          </w:tblCellMar>
        </w:tblPrEx>
        <w:trPr>
          <w:trHeight w:val="1336" w:hRule="atLeast"/>
        </w:trPr>
        <w:tc>
          <w:tcPr>
            <w:tcW w:w="15428" w:type="dxa"/>
            <w:gridSpan w:val="9"/>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2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09"/>
              <w:gridCol w:w="513"/>
              <w:gridCol w:w="1176"/>
              <w:gridCol w:w="4202"/>
              <w:gridCol w:w="1369"/>
              <w:gridCol w:w="489"/>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3709"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1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176"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202"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858"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615" w:type="dxa"/>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2073"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70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1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17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20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73"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709" w:type="dxa"/>
                  <w:tcBorders>
                    <w:top w:val="nil"/>
                    <w:left w:val="nil"/>
                    <w:bottom w:val="single" w:color="auto"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部门：沅江市市场监督管理局</w:t>
                  </w:r>
                </w:p>
              </w:tc>
              <w:tc>
                <w:tcPr>
                  <w:tcW w:w="513" w:type="dxa"/>
                  <w:tcBorders>
                    <w:top w:val="nil"/>
                    <w:left w:val="nil"/>
                    <w:bottom w:val="single" w:color="auto" w:sz="4" w:space="0"/>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176" w:type="dxa"/>
                  <w:tcBorders>
                    <w:top w:val="nil"/>
                    <w:left w:val="nil"/>
                    <w:bottom w:val="single" w:color="auto" w:sz="4" w:space="0"/>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20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73"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398" w:type="dxa"/>
                  <w:gridSpan w:val="3"/>
                  <w:tcBorders>
                    <w:top w:val="single" w:color="auto" w:sz="4" w:space="0"/>
                    <w:left w:val="single" w:color="auto"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6675" w:type="dxa"/>
                  <w:gridSpan w:val="4"/>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76"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176"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4967</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rPr>
                    <w:t>83</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六、科学技术支出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132.70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八、社会保障和就业支出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rPr>
                    <w:t>十二、农林水支出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十九、住房保障支出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二十、粮油物资储备支出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二十三、其他支出</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68.50</w:t>
                  </w: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5036.33</w:t>
                  </w: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5037.89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3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195.18</w:t>
                  </w:r>
                </w:p>
              </w:tc>
              <w:tc>
                <w:tcPr>
                  <w:tcW w:w="42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709" w:type="dxa"/>
                  <w:tcBorders>
                    <w:top w:val="single" w:color="000000"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7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5231.51</w:t>
                  </w:r>
                </w:p>
              </w:tc>
              <w:tc>
                <w:tcPr>
                  <w:tcW w:w="4202"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3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5231.51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jc w:val="center"/>
              </w:trPr>
              <w:tc>
                <w:tcPr>
                  <w:tcW w:w="12073"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2.本套报表金额单位转换时可能存在尾数误差。</w:t>
                  </w:r>
                </w:p>
              </w:tc>
            </w:tr>
          </w:tbl>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r>
              <w:rPr>
                <w:rFonts w:hint="eastAsia" w:ascii="华文中宋" w:hAnsi="华文中宋" w:eastAsia="华文中宋" w:cs="华文中宋"/>
                <w:i w:val="0"/>
                <w:color w:val="000000"/>
                <w:kern w:val="0"/>
                <w:sz w:val="32"/>
                <w:szCs w:val="32"/>
                <w:u w:val="none"/>
                <w:lang w:val="en-US" w:eastAsia="zh-CN" w:bidi="ar"/>
              </w:rPr>
              <w:t>收入决算表</w:t>
            </w:r>
          </w:p>
          <w:p>
            <w:pPr>
              <w:jc w:val="both"/>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eastAsia="zh-CN"/>
              </w:rPr>
              <w:t>沅江市市场监督管理局</w:t>
            </w:r>
            <w:r>
              <w:rPr>
                <w:rFonts w:hint="eastAsia"/>
                <w:color w:val="000000"/>
                <w:sz w:val="20"/>
                <w:szCs w:val="20"/>
                <w:lang w:val="en-US" w:eastAsia="zh-CN"/>
              </w:rPr>
              <w:t xml:space="preserve">                                                                                                                     </w:t>
            </w:r>
            <w:r>
              <w:rPr>
                <w:rFonts w:hint="eastAsia"/>
                <w:color w:val="000000"/>
                <w:sz w:val="20"/>
                <w:szCs w:val="20"/>
              </w:rPr>
              <w:t>公开0</w:t>
            </w:r>
            <w:r>
              <w:rPr>
                <w:rFonts w:hint="eastAsia"/>
                <w:color w:val="000000"/>
                <w:sz w:val="20"/>
                <w:szCs w:val="20"/>
                <w:lang w:val="en-US" w:eastAsia="zh-CN"/>
              </w:rPr>
              <w:t>2</w:t>
            </w:r>
            <w:r>
              <w:rPr>
                <w:rFonts w:hint="eastAsia"/>
                <w:color w:val="000000"/>
                <w:sz w:val="20"/>
                <w:szCs w:val="20"/>
              </w:rPr>
              <w:t>表</w:t>
            </w:r>
          </w:p>
          <w:p>
            <w:pPr>
              <w:widowControl/>
              <w:jc w:val="right"/>
              <w:rPr>
                <w:rFonts w:hint="eastAsia" w:ascii="华文中宋" w:hAnsi="华文中宋" w:eastAsia="华文中宋"/>
                <w:color w:val="000000"/>
                <w:sz w:val="32"/>
                <w:szCs w:val="32"/>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245"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w:t>
            </w:r>
          </w:p>
        </w:tc>
        <w:tc>
          <w:tcPr>
            <w:tcW w:w="15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本年收入合计</w:t>
            </w:r>
          </w:p>
          <w:p>
            <w:pPr>
              <w:jc w:val="center"/>
              <w:rPr>
                <w:rFonts w:ascii="宋体" w:hAnsi="宋体" w:eastAsia="宋体" w:cs="宋体"/>
                <w:sz w:val="24"/>
                <w:szCs w:val="24"/>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财政拨款收入</w:t>
            </w:r>
          </w:p>
          <w:p>
            <w:pPr>
              <w:jc w:val="center"/>
              <w:rPr>
                <w:rFonts w:ascii="宋体" w:hAnsi="宋体" w:eastAsia="宋体" w:cs="宋体"/>
                <w:sz w:val="24"/>
                <w:szCs w:val="24"/>
              </w:rPr>
            </w:pPr>
          </w:p>
        </w:tc>
        <w:tc>
          <w:tcPr>
            <w:tcW w:w="17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上级补助收入</w:t>
            </w:r>
          </w:p>
          <w:p>
            <w:pPr>
              <w:jc w:val="center"/>
              <w:rPr>
                <w:rFonts w:ascii="宋体" w:hAnsi="宋体" w:eastAsia="宋体" w:cs="宋体"/>
                <w:sz w:val="24"/>
                <w:szCs w:val="24"/>
              </w:rPr>
            </w:pP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事业收入</w:t>
            </w:r>
          </w:p>
          <w:p>
            <w:pPr>
              <w:jc w:val="center"/>
              <w:rPr>
                <w:rFonts w:ascii="宋体" w:hAnsi="宋体" w:eastAsia="宋体" w:cs="宋体"/>
                <w:sz w:val="24"/>
                <w:szCs w:val="24"/>
              </w:rPr>
            </w:pP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经营收入</w:t>
            </w:r>
          </w:p>
          <w:p>
            <w:pPr>
              <w:jc w:val="center"/>
              <w:rPr>
                <w:rFonts w:ascii="宋体" w:hAnsi="宋体" w:eastAsia="宋体" w:cs="宋体"/>
                <w:sz w:val="24"/>
                <w:szCs w:val="24"/>
              </w:rPr>
            </w:pPr>
          </w:p>
        </w:tc>
        <w:tc>
          <w:tcPr>
            <w:tcW w:w="21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附属单位上缴收入</w:t>
            </w:r>
          </w:p>
          <w:p>
            <w:pPr>
              <w:jc w:val="center"/>
              <w:rPr>
                <w:rFonts w:ascii="宋体" w:hAnsi="宋体" w:eastAsia="宋体" w:cs="宋体"/>
                <w:sz w:val="24"/>
                <w:szCs w:val="24"/>
              </w:rPr>
            </w:pPr>
          </w:p>
        </w:tc>
        <w:tc>
          <w:tcPr>
            <w:tcW w:w="19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其他收入</w:t>
            </w:r>
          </w:p>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科目代码</w:t>
            </w:r>
          </w:p>
          <w:p>
            <w:pPr>
              <w:jc w:val="center"/>
              <w:rPr>
                <w:rFonts w:ascii="宋体" w:hAnsi="宋体" w:eastAsia="宋体" w:cs="宋体"/>
                <w:sz w:val="24"/>
                <w:szCs w:val="24"/>
              </w:rPr>
            </w:pPr>
          </w:p>
        </w:tc>
        <w:tc>
          <w:tcPr>
            <w:tcW w:w="226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p>
            <w:pPr>
              <w:jc w:val="center"/>
              <w:rPr>
                <w:rFonts w:ascii="宋体" w:hAnsi="宋体" w:eastAsia="宋体" w:cs="宋体"/>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2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栏次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2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合计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5036.33</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4967.83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68.5</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4600.38</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4600.38</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知识产权事务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2011409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知识产权宏观管理</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市场监督管理事务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4580.49</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4580.49</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2013804</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市场主体管理</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2013810</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质量基础</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2013812</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药品事务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2013815</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质量安全监管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2013816</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食品安全监管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其他市场监督管理事务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科学技术支出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32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项目</w:t>
            </w:r>
          </w:p>
        </w:tc>
        <w:tc>
          <w:tcPr>
            <w:tcW w:w="1575" w:type="dxa"/>
            <w:vMerge w:val="restart"/>
            <w:tcBorders>
              <w:top w:val="single" w:color="auto" w:sz="4" w:space="0"/>
              <w:left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本年收入合计</w:t>
            </w:r>
          </w:p>
          <w:p>
            <w:pPr>
              <w:jc w:val="center"/>
              <w:rPr>
                <w:rFonts w:hint="eastAsia" w:ascii="宋体" w:hAnsi="宋体" w:eastAsia="宋体" w:cs="宋体"/>
                <w:kern w:val="2"/>
                <w:sz w:val="24"/>
                <w:szCs w:val="24"/>
                <w:lang w:val="en-US" w:eastAsia="zh-CN" w:bidi="ar-SA"/>
              </w:rPr>
            </w:pPr>
          </w:p>
        </w:tc>
        <w:tc>
          <w:tcPr>
            <w:tcW w:w="1560"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财政拨款收入</w:t>
            </w:r>
          </w:p>
          <w:p>
            <w:pPr>
              <w:jc w:val="center"/>
              <w:rPr>
                <w:rFonts w:hint="eastAsia" w:ascii="宋体" w:hAnsi="宋体" w:eastAsia="宋体" w:cs="宋体"/>
                <w:kern w:val="2"/>
                <w:sz w:val="24"/>
                <w:szCs w:val="24"/>
                <w:lang w:val="en-US" w:eastAsia="zh-CN" w:bidi="ar-SA"/>
              </w:rPr>
            </w:pPr>
          </w:p>
        </w:tc>
        <w:tc>
          <w:tcPr>
            <w:tcW w:w="1785"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上级补助收入</w:t>
            </w:r>
          </w:p>
          <w:p>
            <w:pPr>
              <w:jc w:val="center"/>
              <w:rPr>
                <w:rFonts w:hint="eastAsia" w:ascii="宋体" w:hAnsi="宋体" w:eastAsia="宋体" w:cs="宋体"/>
                <w:kern w:val="2"/>
                <w:sz w:val="24"/>
                <w:szCs w:val="24"/>
                <w:lang w:val="en-US" w:eastAsia="zh-CN" w:bidi="ar-SA"/>
              </w:rPr>
            </w:pPr>
          </w:p>
        </w:tc>
        <w:tc>
          <w:tcPr>
            <w:tcW w:w="1605"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事业收入</w:t>
            </w:r>
          </w:p>
          <w:p>
            <w:pPr>
              <w:jc w:val="center"/>
              <w:rPr>
                <w:rFonts w:hint="eastAsia" w:ascii="宋体" w:hAnsi="宋体" w:eastAsia="宋体" w:cs="宋体"/>
                <w:kern w:val="2"/>
                <w:sz w:val="24"/>
                <w:szCs w:val="24"/>
                <w:lang w:val="en-US" w:eastAsia="zh-CN" w:bidi="ar-SA"/>
              </w:rPr>
            </w:pPr>
          </w:p>
        </w:tc>
        <w:tc>
          <w:tcPr>
            <w:tcW w:w="1590"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经营收入</w:t>
            </w:r>
          </w:p>
          <w:p>
            <w:pPr>
              <w:jc w:val="center"/>
              <w:rPr>
                <w:rFonts w:hint="eastAsia" w:ascii="宋体" w:hAnsi="宋体" w:eastAsia="宋体" w:cs="宋体"/>
                <w:kern w:val="2"/>
                <w:sz w:val="24"/>
                <w:szCs w:val="24"/>
                <w:lang w:val="en-US" w:eastAsia="zh-CN" w:bidi="ar-SA"/>
              </w:rPr>
            </w:pPr>
          </w:p>
        </w:tc>
        <w:tc>
          <w:tcPr>
            <w:tcW w:w="2130"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附属单位上缴收入</w:t>
            </w:r>
          </w:p>
          <w:p>
            <w:pPr>
              <w:jc w:val="center"/>
              <w:rPr>
                <w:rFonts w:hint="eastAsia" w:ascii="宋体" w:hAnsi="宋体" w:eastAsia="宋体" w:cs="宋体"/>
                <w:kern w:val="2"/>
                <w:sz w:val="24"/>
                <w:szCs w:val="24"/>
                <w:lang w:val="en-US" w:eastAsia="zh-CN" w:bidi="ar-SA"/>
              </w:rPr>
            </w:pPr>
          </w:p>
        </w:tc>
        <w:tc>
          <w:tcPr>
            <w:tcW w:w="1938" w:type="dxa"/>
            <w:vMerge w:val="restart"/>
            <w:tcBorders>
              <w:top w:val="single" w:color="auto" w:sz="4" w:space="0"/>
              <w:left w:val="nil"/>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其他收入</w:t>
            </w:r>
          </w:p>
          <w:p>
            <w:pPr>
              <w:jc w:val="center"/>
              <w:rPr>
                <w:rFonts w:hint="eastAsia" w:ascii="宋体" w:hAnsi="宋体" w:eastAsia="宋体" w:cs="宋体"/>
                <w:kern w:val="2"/>
                <w:sz w:val="24"/>
                <w:szCs w:val="24"/>
                <w:lang w:val="en-US" w:eastAsia="zh-CN" w:bidi="ar-SA"/>
              </w:rPr>
            </w:pP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科目代码</w:t>
            </w:r>
          </w:p>
          <w:p>
            <w:pPr>
              <w:jc w:val="center"/>
              <w:rPr>
                <w:rFonts w:hint="eastAsia" w:ascii="宋体" w:hAnsi="宋体" w:eastAsia="宋体" w:cs="宋体"/>
                <w:kern w:val="2"/>
                <w:sz w:val="24"/>
                <w:szCs w:val="24"/>
                <w:lang w:val="en-US" w:eastAsia="zh-CN" w:bidi="ar-SA"/>
              </w:rPr>
            </w:pP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p>
            <w:pPr>
              <w:jc w:val="center"/>
              <w:rPr>
                <w:rFonts w:hint="eastAsia" w:ascii="宋体" w:hAnsi="宋体" w:eastAsia="宋体" w:cs="宋体"/>
                <w:kern w:val="2"/>
                <w:sz w:val="24"/>
                <w:szCs w:val="24"/>
                <w:lang w:val="en-US" w:eastAsia="zh-CN" w:bidi="ar-SA"/>
              </w:rPr>
            </w:pPr>
          </w:p>
        </w:tc>
        <w:tc>
          <w:tcPr>
            <w:tcW w:w="1575" w:type="dxa"/>
            <w:vMerge w:val="continue"/>
            <w:tcBorders>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560"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785"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605"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590"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130"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938" w:type="dxa"/>
            <w:vMerge w:val="continue"/>
            <w:tcBorders>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死亡抚恤</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粮油物资储备支出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粮油物资事务</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其他粮油物资事务支出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r>
      <w:tr>
        <w:tblPrEx>
          <w:tblCellMar>
            <w:top w:w="0" w:type="dxa"/>
            <w:left w:w="0" w:type="dxa"/>
            <w:bottom w:w="0" w:type="dxa"/>
            <w:right w:w="0"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2299999</w:t>
            </w:r>
          </w:p>
        </w:tc>
        <w:tc>
          <w:tcPr>
            <w:tcW w:w="22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5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68.50</w:t>
            </w:r>
          </w:p>
        </w:tc>
      </w:tr>
      <w:tr>
        <w:tblPrEx>
          <w:tblCellMar>
            <w:top w:w="0" w:type="dxa"/>
            <w:left w:w="0" w:type="dxa"/>
            <w:bottom w:w="0" w:type="dxa"/>
            <w:right w:w="0" w:type="dxa"/>
          </w:tblCellMar>
        </w:tblPrEx>
        <w:trPr>
          <w:trHeight w:val="615" w:hRule="atLeast"/>
        </w:trPr>
        <w:tc>
          <w:tcPr>
            <w:tcW w:w="15428" w:type="dxa"/>
            <w:gridSpan w:val="9"/>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rPr>
          <w:rFonts w:hint="eastAsia" w:ascii="Times New Roman" w:hAnsi="Times New Roman" w:eastAsia="方正小标宋_GBK" w:cs="Times New Roman"/>
          <w:color w:val="000000"/>
          <w:kern w:val="0"/>
          <w:sz w:val="36"/>
          <w:szCs w:val="36"/>
          <w:lang w:eastAsia="zh-CN"/>
        </w:rPr>
      </w:pPr>
      <w:r>
        <w:rPr>
          <w:rFonts w:hint="eastAsia" w:ascii="Times New Roman" w:hAnsi="Times New Roman" w:eastAsia="方正小标宋_GBK" w:cs="Times New Roman"/>
          <w:color w:val="000000"/>
          <w:kern w:val="0"/>
          <w:sz w:val="36"/>
          <w:szCs w:val="36"/>
          <w:lang w:eastAsia="zh-CN"/>
        </w:rPr>
        <w:br w:type="page"/>
      </w:r>
    </w:p>
    <w:p>
      <w:pPr>
        <w:widowControl/>
        <w:jc w:val="center"/>
        <w:rPr>
          <w:rFonts w:hint="eastAsia" w:ascii="Times New Roman" w:hAnsi="Times New Roman" w:eastAsia="方正小标宋_GBK" w:cs="Times New Roman"/>
          <w:color w:val="000000"/>
          <w:kern w:val="0"/>
          <w:sz w:val="36"/>
          <w:szCs w:val="36"/>
          <w:lang w:eastAsia="zh-CN"/>
        </w:rPr>
      </w:pPr>
      <w:r>
        <w:rPr>
          <w:rFonts w:hint="eastAsia" w:ascii="Times New Roman" w:hAnsi="Times New Roman" w:eastAsia="方正小标宋_GBK" w:cs="Times New Roman"/>
          <w:color w:val="000000"/>
          <w:kern w:val="0"/>
          <w:sz w:val="36"/>
          <w:szCs w:val="36"/>
          <w:lang w:eastAsia="zh-CN"/>
        </w:rPr>
        <w:t>支出决算表</w:t>
      </w:r>
    </w:p>
    <w:p>
      <w:pPr>
        <w:jc w:val="right"/>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eastAsia="zh-CN"/>
        </w:rPr>
        <w:t>沅江市市场监督管理局</w:t>
      </w:r>
      <w:r>
        <w:rPr>
          <w:rFonts w:hint="eastAsia"/>
          <w:color w:val="000000"/>
          <w:sz w:val="20"/>
          <w:szCs w:val="20"/>
          <w:lang w:val="en-US" w:eastAsia="zh-CN"/>
        </w:rPr>
        <w:t xml:space="preserve">                                                                                                                     </w:t>
      </w:r>
      <w:r>
        <w:rPr>
          <w:rFonts w:hint="eastAsia"/>
          <w:color w:val="000000"/>
          <w:sz w:val="20"/>
          <w:szCs w:val="20"/>
        </w:rPr>
        <w:t>公开0</w:t>
      </w:r>
      <w:r>
        <w:rPr>
          <w:rFonts w:hint="eastAsia"/>
          <w:color w:val="000000"/>
          <w:sz w:val="20"/>
          <w:szCs w:val="20"/>
          <w:lang w:val="en-US" w:eastAsia="zh-CN"/>
        </w:rPr>
        <w:t>3</w:t>
      </w:r>
      <w:r>
        <w:rPr>
          <w:rFonts w:hint="eastAsia"/>
          <w:color w:val="000000"/>
          <w:sz w:val="20"/>
          <w:szCs w:val="20"/>
        </w:rPr>
        <w:t>表</w:t>
      </w:r>
    </w:p>
    <w:p>
      <w:pPr>
        <w:widowControl/>
        <w:jc w:val="right"/>
        <w:rPr>
          <w:rFonts w:hint="eastAsia" w:ascii="Times New Roman" w:hAnsi="Times New Roman" w:eastAsia="方正小标宋_GBK" w:cs="Times New Roman"/>
          <w:color w:val="000000"/>
          <w:kern w:val="0"/>
          <w:sz w:val="36"/>
          <w:szCs w:val="36"/>
          <w:lang w:eastAsia="zh-CN"/>
        </w:rPr>
      </w:pPr>
      <w:r>
        <w:rPr>
          <w:rFonts w:hint="eastAsia"/>
          <w:color w:val="000000"/>
          <w:sz w:val="20"/>
          <w:szCs w:val="20"/>
        </w:rPr>
        <w:t>单位：万元</w:t>
      </w:r>
    </w:p>
    <w:tbl>
      <w:tblPr>
        <w:tblStyle w:val="6"/>
        <w:tblW w:w="15817" w:type="dxa"/>
        <w:tblInd w:w="93" w:type="dxa"/>
        <w:tblLayout w:type="fixed"/>
        <w:tblCellMar>
          <w:top w:w="0" w:type="dxa"/>
          <w:left w:w="108" w:type="dxa"/>
          <w:bottom w:w="0" w:type="dxa"/>
          <w:right w:w="108" w:type="dxa"/>
        </w:tblCellMar>
      </w:tblPr>
      <w:tblGrid>
        <w:gridCol w:w="1476"/>
        <w:gridCol w:w="2519"/>
        <w:gridCol w:w="1965"/>
        <w:gridCol w:w="1815"/>
        <w:gridCol w:w="1800"/>
        <w:gridCol w:w="1830"/>
        <w:gridCol w:w="1980"/>
        <w:gridCol w:w="2432"/>
      </w:tblGrid>
      <w:tr>
        <w:tblPrEx>
          <w:tblCellMar>
            <w:top w:w="0" w:type="dxa"/>
            <w:left w:w="108" w:type="dxa"/>
            <w:bottom w:w="0" w:type="dxa"/>
            <w:right w:w="108" w:type="dxa"/>
          </w:tblCellMar>
        </w:tblPrEx>
        <w:trPr>
          <w:trHeight w:val="595" w:hRule="atLeast"/>
          <w:tblHeader/>
        </w:trPr>
        <w:tc>
          <w:tcPr>
            <w:tcW w:w="39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w:t>
            </w:r>
          </w:p>
        </w:tc>
        <w:tc>
          <w:tcPr>
            <w:tcW w:w="19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本年支出合计</w:t>
            </w:r>
          </w:p>
          <w:p>
            <w:pPr>
              <w:widowControl/>
              <w:jc w:val="center"/>
              <w:rPr>
                <w:rFonts w:ascii="宋体" w:hAnsi="宋体" w:eastAsia="宋体" w:cs="宋体"/>
                <w:kern w:val="0"/>
                <w:sz w:val="24"/>
                <w:szCs w:val="24"/>
              </w:rPr>
            </w:pP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基本支出</w:t>
            </w:r>
          </w:p>
          <w:p>
            <w:pPr>
              <w:widowControl/>
              <w:jc w:val="center"/>
              <w:rPr>
                <w:rFonts w:ascii="宋体" w:hAnsi="宋体" w:eastAsia="宋体" w:cs="宋体"/>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p>
            <w:pPr>
              <w:widowControl/>
              <w:jc w:val="center"/>
              <w:rPr>
                <w:rFonts w:ascii="宋体" w:hAnsi="宋体" w:eastAsia="宋体" w:cs="宋体"/>
                <w:kern w:val="0"/>
                <w:sz w:val="24"/>
                <w:szCs w:val="24"/>
              </w:rPr>
            </w:pPr>
          </w:p>
        </w:tc>
        <w:tc>
          <w:tcPr>
            <w:tcW w:w="18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上缴上级支出</w:t>
            </w:r>
          </w:p>
          <w:p>
            <w:pPr>
              <w:widowControl/>
              <w:jc w:val="center"/>
              <w:rPr>
                <w:rFonts w:ascii="宋体" w:hAnsi="宋体" w:eastAsia="宋体" w:cs="宋体"/>
                <w:kern w:val="0"/>
                <w:sz w:val="24"/>
                <w:szCs w:val="24"/>
              </w:rPr>
            </w:pPr>
          </w:p>
        </w:tc>
        <w:tc>
          <w:tcPr>
            <w:tcW w:w="19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经营支出</w:t>
            </w:r>
          </w:p>
          <w:p>
            <w:pPr>
              <w:widowControl/>
              <w:jc w:val="center"/>
              <w:rPr>
                <w:rFonts w:ascii="宋体" w:hAnsi="宋体" w:eastAsia="宋体" w:cs="宋体"/>
                <w:kern w:val="0"/>
                <w:sz w:val="24"/>
                <w:szCs w:val="24"/>
              </w:rPr>
            </w:pPr>
          </w:p>
        </w:tc>
        <w:tc>
          <w:tcPr>
            <w:tcW w:w="24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对附属单位补助支出</w:t>
            </w:r>
          </w:p>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blHeader/>
        </w:trPr>
        <w:tc>
          <w:tcPr>
            <w:tcW w:w="14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科目代码</w:t>
            </w:r>
          </w:p>
          <w:p>
            <w:pPr>
              <w:widowControl/>
              <w:jc w:val="center"/>
              <w:rPr>
                <w:rFonts w:ascii="宋体" w:hAnsi="宋体" w:eastAsia="宋体" w:cs="宋体"/>
                <w:kern w:val="0"/>
                <w:sz w:val="24"/>
                <w:szCs w:val="24"/>
              </w:rPr>
            </w:pPr>
          </w:p>
        </w:tc>
        <w:tc>
          <w:tcPr>
            <w:tcW w:w="2519"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p>
            <w:pPr>
              <w:widowControl/>
              <w:jc w:val="center"/>
              <w:rPr>
                <w:rFonts w:ascii="宋体" w:hAnsi="宋体" w:eastAsia="宋体" w:cs="宋体"/>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blHeader/>
        </w:trPr>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39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栏次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595" w:hRule="atLeast"/>
        </w:trPr>
        <w:tc>
          <w:tcPr>
            <w:tcW w:w="39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合计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5037.89</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3516.56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1521.33</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4600.38</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1305.42</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知识产权事务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2011409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知识产权宏观管理</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市场监督管理事务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4580.49</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1285.53</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2013804</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市场主体管理</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2013810</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质量基础</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2013812</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药品事务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2013815</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质量安全监管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2013816</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食品安全监管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其他市场监督管理事务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科学技术支出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其他科学技术支出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其他科学技术支出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死亡抚恤</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粮油物资储备支出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粮油物资事务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其他粮油物资事务支出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70.06</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65.21</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70.06</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65.21</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2299999</w:t>
            </w:r>
          </w:p>
        </w:tc>
        <w:tc>
          <w:tcPr>
            <w:tcW w:w="251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70.06</w:t>
            </w:r>
          </w:p>
        </w:tc>
        <w:tc>
          <w:tcPr>
            <w:tcW w:w="18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65.21</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828" w:hRule="atLeast"/>
        </w:trPr>
        <w:tc>
          <w:tcPr>
            <w:tcW w:w="15817" w:type="dxa"/>
            <w:gridSpan w:val="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br w:type="page"/>
      </w:r>
    </w:p>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沅江市市场监督管理局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4967.83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4600.38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4600.83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132.70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132.70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tabs>
                <w:tab w:val="center" w:pos="431"/>
                <w:tab w:val="right" w:pos="1202"/>
              </w:tabs>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33.43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33.43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8.00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8.00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183.32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183.32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4967.83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4967.83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4967.83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190.03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190.03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190.03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190.03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5157.86</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5157.86</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5157.86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沅江市市场监督管理局</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wordWrap w:val="0"/>
        <w:jc w:val="right"/>
        <w:rPr>
          <w:rFonts w:hint="default" w:ascii="Times New Roman" w:hAnsi="Times New Roman" w:eastAsia="仿宋_GB2312" w:cs="Times New Roman"/>
          <w:color w:val="000000"/>
          <w:kern w:val="0"/>
          <w:sz w:val="20"/>
          <w:szCs w:val="20"/>
          <w:lang w:val="en-US" w:eastAsia="zh-CN"/>
        </w:rPr>
      </w:pPr>
      <w:r>
        <w:rPr>
          <w:rFonts w:ascii="Times New Roman" w:hAnsi="Times New Roman" w:eastAsia="仿宋_GB2312" w:cs="Times New Roman"/>
          <w:color w:val="000000"/>
          <w:kern w:val="0"/>
          <w:szCs w:val="21"/>
        </w:rPr>
        <w:t>单位：万元</w:t>
      </w:r>
      <w:r>
        <w:rPr>
          <w:rFonts w:hint="eastAsia" w:ascii="Times New Roman" w:hAnsi="Times New Roman" w:eastAsia="仿宋_GB2312" w:cs="Times New Roman"/>
          <w:color w:val="000000"/>
          <w:kern w:val="0"/>
          <w:szCs w:val="21"/>
          <w:lang w:val="en-US" w:eastAsia="zh-CN"/>
        </w:rPr>
        <w:t xml:space="preserve">      </w:t>
      </w:r>
    </w:p>
    <w:tbl>
      <w:tblPr>
        <w:tblStyle w:val="6"/>
        <w:tblW w:w="14179" w:type="dxa"/>
        <w:jc w:val="center"/>
        <w:tblLayout w:type="autofit"/>
        <w:tblCellMar>
          <w:top w:w="0" w:type="dxa"/>
          <w:left w:w="108" w:type="dxa"/>
          <w:bottom w:w="0" w:type="dxa"/>
          <w:right w:w="108" w:type="dxa"/>
        </w:tblCellMar>
      </w:tblPr>
      <w:tblGrid>
        <w:gridCol w:w="1196"/>
        <w:gridCol w:w="3518"/>
        <w:gridCol w:w="2991"/>
        <w:gridCol w:w="3482"/>
        <w:gridCol w:w="2992"/>
      </w:tblGrid>
      <w:tr>
        <w:tblPrEx>
          <w:tblCellMar>
            <w:top w:w="0" w:type="dxa"/>
            <w:left w:w="108" w:type="dxa"/>
            <w:bottom w:w="0" w:type="dxa"/>
            <w:right w:w="108" w:type="dxa"/>
          </w:tblCellMar>
        </w:tblPrEx>
        <w:trPr>
          <w:trHeight w:val="180" w:hRule="atLeast"/>
          <w:tblHeader/>
          <w:jc w:val="center"/>
        </w:trPr>
        <w:tc>
          <w:tcPr>
            <w:tcW w:w="471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w:t>
            </w:r>
          </w:p>
        </w:tc>
        <w:tc>
          <w:tcPr>
            <w:tcW w:w="9465" w:type="dxa"/>
            <w:gridSpan w:val="3"/>
            <w:tcBorders>
              <w:top w:val="single" w:color="auto"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12" w:hRule="atLeast"/>
          <w:tblHeader/>
          <w:jc w:val="center"/>
        </w:trPr>
        <w:tc>
          <w:tcPr>
            <w:tcW w:w="1196"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科目代码</w:t>
            </w:r>
          </w:p>
          <w:p>
            <w:pPr>
              <w:widowControl/>
              <w:jc w:val="center"/>
              <w:rPr>
                <w:rFonts w:ascii="Times New Roman" w:hAnsi="Times New Roman" w:eastAsia="仿宋_GB2312" w:cs="Times New Roman"/>
                <w:b/>
                <w:kern w:val="0"/>
                <w:szCs w:val="21"/>
              </w:rPr>
            </w:pPr>
          </w:p>
        </w:tc>
        <w:tc>
          <w:tcPr>
            <w:tcW w:w="351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p>
            <w:pPr>
              <w:widowControl/>
              <w:jc w:val="center"/>
              <w:rPr>
                <w:rFonts w:ascii="Times New Roman" w:hAnsi="Times New Roman" w:eastAsia="仿宋_GB2312" w:cs="Times New Roman"/>
                <w:b/>
                <w:kern w:val="0"/>
                <w:szCs w:val="21"/>
              </w:rPr>
            </w:pPr>
          </w:p>
        </w:tc>
        <w:tc>
          <w:tcPr>
            <w:tcW w:w="299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小计</w:t>
            </w:r>
          </w:p>
          <w:p>
            <w:pPr>
              <w:widowControl/>
              <w:jc w:val="center"/>
              <w:rPr>
                <w:rFonts w:ascii="Times New Roman" w:hAnsi="Times New Roman" w:eastAsia="仿宋_GB2312" w:cs="Times New Roman"/>
                <w:b/>
                <w:kern w:val="0"/>
                <w:szCs w:val="21"/>
              </w:rPr>
            </w:pPr>
          </w:p>
        </w:tc>
        <w:tc>
          <w:tcPr>
            <w:tcW w:w="3482"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基本支出</w:t>
            </w:r>
          </w:p>
          <w:p>
            <w:pPr>
              <w:widowControl/>
              <w:jc w:val="center"/>
              <w:rPr>
                <w:rFonts w:ascii="Times New Roman" w:hAnsi="Times New Roman" w:eastAsia="仿宋_GB2312" w:cs="Times New Roman"/>
                <w:b/>
                <w:kern w:val="0"/>
                <w:szCs w:val="21"/>
              </w:rPr>
            </w:pPr>
          </w:p>
        </w:tc>
        <w:tc>
          <w:tcPr>
            <w:tcW w:w="2992" w:type="dxa"/>
            <w:vMerge w:val="restart"/>
            <w:tcBorders>
              <w:top w:val="nil"/>
              <w:left w:val="single" w:color="auto" w:sz="4" w:space="0"/>
              <w:bottom w:val="single" w:color="000000"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p>
            <w:pPr>
              <w:widowControl/>
              <w:jc w:val="center"/>
              <w:rPr>
                <w:rFonts w:ascii="Times New Roman" w:hAnsi="Times New Roman" w:eastAsia="仿宋_GB2312" w:cs="Times New Roman"/>
                <w:b/>
                <w:kern w:val="0"/>
                <w:szCs w:val="21"/>
              </w:rPr>
            </w:pPr>
          </w:p>
        </w:tc>
      </w:tr>
      <w:tr>
        <w:tblPrEx>
          <w:tblCellMar>
            <w:top w:w="0" w:type="dxa"/>
            <w:left w:w="108" w:type="dxa"/>
            <w:bottom w:w="0" w:type="dxa"/>
            <w:right w:w="108" w:type="dxa"/>
          </w:tblCellMar>
        </w:tblPrEx>
        <w:trPr>
          <w:trHeight w:val="312" w:hRule="atLeast"/>
          <w:tblHeader/>
          <w:jc w:val="center"/>
        </w:trPr>
        <w:tc>
          <w:tcPr>
            <w:tcW w:w="119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tblHeader/>
          <w:jc w:val="center"/>
        </w:trPr>
        <w:tc>
          <w:tcPr>
            <w:tcW w:w="1196"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22"/>
                <w:szCs w:val="22"/>
                <w:u w:val="none"/>
              </w:rPr>
            </w:pPr>
          </w:p>
        </w:tc>
        <w:tc>
          <w:tcPr>
            <w:tcW w:w="299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178" w:hRule="atLeast"/>
          <w:jc w:val="center"/>
        </w:trPr>
        <w:tc>
          <w:tcPr>
            <w:tcW w:w="471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栏次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178" w:hRule="atLeast"/>
          <w:jc w:val="center"/>
        </w:trPr>
        <w:tc>
          <w:tcPr>
            <w:tcW w:w="471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合计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4967.83</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3511.71</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1456.12</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4600.38</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1305.42</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知识产权事务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2011409</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知识产权宏观管理</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19.89</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市场监督管理事务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4580.49</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1285.53</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2013801</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3294.96</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78"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2013804</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市场主体管理</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2013810</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质量基础</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2013812</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药品事务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2013815</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质量安全监管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2013816</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食品安全监管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324.20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2013899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517.83</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科学技术支出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其他科学技术支出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2069999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33.43</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粮油物资储备支出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粮油物资事务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18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2220199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259" w:hRule="atLeast"/>
          <w:jc w:val="center"/>
        </w:trPr>
        <w:tc>
          <w:tcPr>
            <w:tcW w:w="1417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r>
        <w:tblPrEx>
          <w:tblCellMar>
            <w:top w:w="0" w:type="dxa"/>
            <w:left w:w="108" w:type="dxa"/>
            <w:bottom w:w="0" w:type="dxa"/>
            <w:right w:w="108" w:type="dxa"/>
          </w:tblCellMar>
        </w:tblPrEx>
        <w:trPr>
          <w:trHeight w:val="241" w:hRule="atLeast"/>
          <w:jc w:val="center"/>
        </w:trPr>
        <w:tc>
          <w:tcPr>
            <w:tcW w:w="1417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41" w:hRule="atLeast"/>
          <w:jc w:val="center"/>
        </w:trPr>
        <w:tc>
          <w:tcPr>
            <w:tcW w:w="1417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41" w:hRule="atLeast"/>
          <w:jc w:val="center"/>
        </w:trPr>
        <w:tc>
          <w:tcPr>
            <w:tcW w:w="1417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tbl>
      <w:tblPr>
        <w:tblStyle w:val="6"/>
        <w:tblW w:w="0" w:type="auto"/>
        <w:tblInd w:w="0" w:type="dxa"/>
        <w:tblLayout w:type="fixed"/>
        <w:tblCellMar>
          <w:top w:w="0" w:type="dxa"/>
          <w:left w:w="108" w:type="dxa"/>
          <w:bottom w:w="0" w:type="dxa"/>
          <w:right w:w="108" w:type="dxa"/>
        </w:tblCellMar>
      </w:tblPr>
      <w:tblGrid>
        <w:gridCol w:w="1003"/>
        <w:gridCol w:w="55"/>
        <w:gridCol w:w="185"/>
        <w:gridCol w:w="1402"/>
        <w:gridCol w:w="1293"/>
        <w:gridCol w:w="826"/>
        <w:gridCol w:w="299"/>
        <w:gridCol w:w="1185"/>
        <w:gridCol w:w="635"/>
        <w:gridCol w:w="1518"/>
        <w:gridCol w:w="601"/>
        <w:gridCol w:w="606"/>
        <w:gridCol w:w="1410"/>
        <w:gridCol w:w="103"/>
        <w:gridCol w:w="2119"/>
        <w:gridCol w:w="1468"/>
        <w:gridCol w:w="652"/>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沅江市市场监督管理局</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8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6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3260.91</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159.11</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基本工资</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1126.24</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20.44</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国内债务付息</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津贴补贴</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615.83</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印刷费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2.79</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国外债务付息</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奖金</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521.80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咨询费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伙食补助费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98.11</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手续费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房屋建筑物购建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绩效工资</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164.99</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水费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10.27</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办公设备购置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机关事业单位基本养老保险缴费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273.52</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电费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专用设备购置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职业年金缴费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邮电费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0.01</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基础设施建设</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职工基本医疗保险缴费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145.08</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取暖费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大型修缮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公务员医疗补助缴费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物业管理费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信息网络及软件购置更新</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其他社会保障缴费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15.66</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差旅费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3.73</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物资储备</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住房公积金</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251.39</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因公出国（境）费用</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土地补偿</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维修（护）费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安置补助</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其他工资福利支出</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37.14</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租赁费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0.83</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地上附着物和青苗补偿</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91.69</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会议费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拆迁补偿</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离休费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11.61</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培训费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退休费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公务接待费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3.48</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其他交通工具购置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退职（役）费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专用材料费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文物和陈列品购置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抚恤金</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35.53</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被装购置费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无形资产购置</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生活补助</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12.26</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专用燃料费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其他资本性支出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救济费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劳务费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医疗费补助</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委托业务费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赠与</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助学金</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工会经费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62.53</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国家赔偿费用支出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奖励金</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福利费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对民间非营利组织和群众性自治组织补贴</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个人农业生产补贴</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公务用车运行维护费</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11.13</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代缴社会保险费</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其他交通费用</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其他对个人和家庭的补助</w:t>
            </w:r>
          </w:p>
        </w:tc>
        <w:tc>
          <w:tcPr>
            <w:tcW w:w="112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8.73</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税金及附加费用</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5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2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其他商品和服务支出</w:t>
            </w:r>
          </w:p>
        </w:tc>
        <w:tc>
          <w:tcPr>
            <w:tcW w:w="120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393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2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3352.60</w:t>
            </w:r>
          </w:p>
        </w:tc>
        <w:tc>
          <w:tcPr>
            <w:tcW w:w="9645"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159.11</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100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40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4764"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部门：沅江市市场监督管理局</w:t>
            </w: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r>
              <w:rPr>
                <w:rStyle w:val="14"/>
                <w:lang w:val="en-US" w:eastAsia="zh-CN" w:bidi="ar"/>
              </w:rPr>
              <w:t>目</w:t>
            </w: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6"/>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40"/>
        <w:gridCol w:w="2439"/>
        <w:gridCol w:w="2927"/>
        <w:gridCol w:w="2927"/>
        <w:gridCol w:w="3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81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92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92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5495" w:type="dxa"/>
            <w:gridSpan w:val="3"/>
            <w:tcBorders>
              <w:top w:val="nil"/>
              <w:left w:val="nil"/>
              <w:bottom w:val="nil"/>
              <w:right w:val="nil"/>
            </w:tcBorders>
            <w:shd w:val="clear" w:color="auto" w:fill="FFFFFF"/>
            <w:noWrap/>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部门：沅江市市场监督管理局</w:t>
            </w:r>
          </w:p>
        </w:tc>
        <w:tc>
          <w:tcPr>
            <w:tcW w:w="292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92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r>
              <w:rPr>
                <w:rStyle w:val="15"/>
                <w:lang w:val="en-US" w:eastAsia="zh-CN" w:bidi="ar"/>
              </w:rPr>
              <w:t>目</w:t>
            </w:r>
          </w:p>
        </w:tc>
        <w:tc>
          <w:tcPr>
            <w:tcW w:w="9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3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2" w:type="dxa"/>
            <w:gridSpan w:val="3"/>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部门：沅江市市场监督管理局</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14.61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11.13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11.13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14.61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11.13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11.13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w:t>
      </w:r>
      <w:r>
        <w:rPr>
          <w:rFonts w:hint="eastAsia" w:ascii="仿宋_GB2312" w:hAnsi="仿宋_GB2312" w:eastAsia="仿宋_GB2312" w:cs="仿宋_GB2312"/>
          <w:sz w:val="32"/>
          <w:szCs w:val="32"/>
        </w:rPr>
        <w:t>(含年初年末结转和结余)</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5231.51</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1013.7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24.03</w:t>
      </w:r>
      <w:r>
        <w:rPr>
          <w:rFonts w:hint="eastAsia" w:ascii="Times New Roman" w:hAnsi="Times New Roman" w:eastAsia="仿宋_GB2312"/>
          <w:sz w:val="32"/>
          <w:szCs w:val="32"/>
        </w:rPr>
        <w:t>%，主要是因为</w:t>
      </w:r>
      <w:r>
        <w:rPr>
          <w:rFonts w:hint="eastAsia" w:ascii="Times New Roman" w:hAnsi="Times New Roman" w:eastAsia="仿宋_GB2312"/>
          <w:sz w:val="32"/>
          <w:szCs w:val="32"/>
          <w:highlight w:val="none"/>
          <w:lang w:eastAsia="zh-CN"/>
        </w:rPr>
        <w:t>增加了质监中心改造及设备增购费用，</w:t>
      </w:r>
      <w:r>
        <w:rPr>
          <w:rFonts w:hint="eastAsia" w:ascii="Times New Roman" w:hAnsi="Times New Roman" w:eastAsia="仿宋_GB2312"/>
          <w:sz w:val="32"/>
          <w:szCs w:val="32"/>
          <w:highlight w:val="none"/>
          <w:lang w:val="en-US" w:eastAsia="zh-CN"/>
        </w:rPr>
        <w:t>2021年、2022年</w:t>
      </w:r>
      <w:r>
        <w:rPr>
          <w:rFonts w:hint="eastAsia" w:ascii="Times New Roman" w:hAnsi="Times New Roman" w:eastAsia="仿宋_GB2312"/>
          <w:sz w:val="32"/>
          <w:szCs w:val="32"/>
          <w:highlight w:val="none"/>
          <w:lang w:eastAsia="zh-CN"/>
        </w:rPr>
        <w:t>绩效奖金均在本年发放。</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5036.33</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4967.83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98.64</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68.50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0.36</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5037.89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3516.56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69.80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1521.33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30.20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highlight w:val="yellow"/>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5157.86</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1046.37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25.45</w:t>
      </w:r>
      <w:r>
        <w:rPr>
          <w:rFonts w:hint="eastAsia" w:ascii="Times New Roman" w:hAnsi="Times New Roman" w:eastAsia="仿宋_GB2312"/>
          <w:sz w:val="32"/>
          <w:szCs w:val="32"/>
        </w:rPr>
        <w:t>%，主要是因为</w:t>
      </w:r>
      <w:r>
        <w:rPr>
          <w:rFonts w:hint="eastAsia" w:ascii="Times New Roman" w:hAnsi="Times New Roman" w:eastAsia="仿宋_GB2312"/>
          <w:sz w:val="32"/>
          <w:szCs w:val="32"/>
          <w:highlight w:val="none"/>
          <w:lang w:eastAsia="zh-CN"/>
        </w:rPr>
        <w:t>增加了质监中心改造及设备增购费用，</w:t>
      </w:r>
      <w:r>
        <w:rPr>
          <w:rFonts w:hint="eastAsia" w:ascii="Times New Roman" w:hAnsi="Times New Roman" w:eastAsia="仿宋_GB2312"/>
          <w:sz w:val="32"/>
          <w:szCs w:val="32"/>
          <w:highlight w:val="none"/>
          <w:lang w:val="en-US" w:eastAsia="zh-CN"/>
        </w:rPr>
        <w:t>2021年、2022年</w:t>
      </w:r>
      <w:r>
        <w:rPr>
          <w:rFonts w:hint="eastAsia" w:ascii="Times New Roman" w:hAnsi="Times New Roman" w:eastAsia="仿宋_GB2312"/>
          <w:sz w:val="32"/>
          <w:szCs w:val="32"/>
          <w:highlight w:val="none"/>
          <w:lang w:eastAsia="zh-CN"/>
        </w:rPr>
        <w:t>绩效奖金均在本年发放。</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yellow"/>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4967.83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98.61</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1046.37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26.68</w:t>
      </w:r>
      <w:r>
        <w:rPr>
          <w:rFonts w:hint="eastAsia" w:ascii="Times New Roman" w:hAnsi="Times New Roman" w:eastAsia="仿宋_GB2312"/>
          <w:sz w:val="32"/>
          <w:szCs w:val="32"/>
        </w:rPr>
        <w:t>%，主要是因为</w:t>
      </w:r>
      <w:r>
        <w:rPr>
          <w:rFonts w:hint="eastAsia" w:ascii="Times New Roman" w:hAnsi="Times New Roman" w:eastAsia="仿宋_GB2312"/>
          <w:sz w:val="32"/>
          <w:szCs w:val="32"/>
          <w:highlight w:val="none"/>
          <w:lang w:eastAsia="zh-CN"/>
        </w:rPr>
        <w:t>增加了质监中心改造及设备增购费用，</w:t>
      </w:r>
      <w:r>
        <w:rPr>
          <w:rFonts w:hint="eastAsia" w:ascii="Times New Roman" w:hAnsi="Times New Roman" w:eastAsia="仿宋_GB2312"/>
          <w:sz w:val="32"/>
          <w:szCs w:val="32"/>
          <w:highlight w:val="none"/>
          <w:lang w:val="en-US" w:eastAsia="zh-CN"/>
        </w:rPr>
        <w:t>2021年、2022年</w:t>
      </w:r>
      <w:r>
        <w:rPr>
          <w:rFonts w:hint="eastAsia" w:ascii="Times New Roman" w:hAnsi="Times New Roman" w:eastAsia="仿宋_GB2312"/>
          <w:sz w:val="32"/>
          <w:szCs w:val="32"/>
          <w:highlight w:val="none"/>
          <w:lang w:eastAsia="zh-CN"/>
        </w:rPr>
        <w:t>绩效奖金均在本年发放。</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4967.83</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4600.38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92.60</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科学技术支出（类）支出</w:t>
      </w:r>
      <w:r>
        <w:rPr>
          <w:rFonts w:hint="eastAsia" w:ascii="Times New Roman" w:hAnsi="Times New Roman" w:eastAsia="仿宋_GB2312"/>
          <w:sz w:val="32"/>
          <w:szCs w:val="32"/>
          <w:lang w:val="en-US" w:eastAsia="zh-CN"/>
        </w:rPr>
        <w:t>132.70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2.68</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33.43万元，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0.67</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8.00万元，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0.16</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183.32万元，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3.69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；粮油物资储备支出</w:t>
      </w:r>
      <w:r>
        <w:rPr>
          <w:rFonts w:hint="eastAsia" w:ascii="Times New Roman" w:hAnsi="Times New Roman" w:eastAsia="仿宋_GB2312"/>
          <w:sz w:val="32"/>
          <w:szCs w:val="32"/>
          <w:lang w:val="en-US" w:eastAsia="zh-CN"/>
        </w:rPr>
        <w:t>10万元，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3333.08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4967.83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149.05</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1、一般公共服务（类）知识产权事务（款）知识产权宏观管理（项）。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19.89</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rPr>
        <w:t>年中追加专项资金，年初未纳入预算。</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2、一般公共服务（类）市场监督管理事务（款）行政运行（项）。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2276.67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3294.96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144.73</w:t>
      </w:r>
      <w:r>
        <w:rPr>
          <w:rFonts w:hint="eastAsia" w:ascii="Times New Roman" w:hAnsi="Times New Roman" w:eastAsia="仿宋_GB2312"/>
          <w:sz w:val="32"/>
          <w:szCs w:val="32"/>
        </w:rPr>
        <w:t>%，决算数大于年初预算数的主要原因是：</w:t>
      </w:r>
      <w:r>
        <w:rPr>
          <w:rFonts w:hint="eastAsia" w:ascii="仿宋_GB2312" w:hAnsi="仿宋_GB2312" w:eastAsia="仿宋_GB2312" w:cs="仿宋_GB2312"/>
          <w:sz w:val="32"/>
          <w:szCs w:val="32"/>
        </w:rPr>
        <w:t>职工工资提标、年中追加公车补贴</w:t>
      </w:r>
      <w:r>
        <w:rPr>
          <w:rFonts w:hint="eastAsia" w:ascii="仿宋_GB2312" w:hAnsi="仿宋_GB2312" w:eastAsia="仿宋_GB2312" w:cs="仿宋_GB2312"/>
          <w:sz w:val="32"/>
          <w:szCs w:val="32"/>
          <w:lang w:eastAsia="zh-CN"/>
        </w:rPr>
        <w:t>、绩效奖金</w:t>
      </w:r>
      <w:r>
        <w:rPr>
          <w:rFonts w:hint="eastAsia" w:ascii="仿宋_GB2312" w:hAnsi="仿宋_GB2312" w:eastAsia="仿宋_GB2312" w:cs="仿宋_GB2312"/>
          <w:sz w:val="32"/>
          <w:szCs w:val="32"/>
        </w:rPr>
        <w:t>等。</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一般公共服务支出（类）市场监督管理事务（款）市场主体管理（项）。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165.00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77.58</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年中调整，指标冻结</w:t>
      </w:r>
      <w:r>
        <w:rPr>
          <w:rFonts w:hint="eastAsia" w:ascii="Times New Roman" w:hAnsi="Times New Roman" w:eastAsia="仿宋_GB2312"/>
          <w:sz w:val="32"/>
          <w:szCs w:val="32"/>
          <w:lang w:val="en-US" w:eastAsia="zh-CN"/>
        </w:rPr>
        <w:t>37万元。</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一般公共服务支出（类）市场监督管理事务（款）质量基础（项）。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14.50</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rPr>
        <w:t>年中追加专项资金，年初未纳入预算。</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一般公共服务支出（类）市场监督管理事务（款）药品事务（项）。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35.00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38.00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108.57</w:t>
      </w:r>
      <w:r>
        <w:rPr>
          <w:rFonts w:hint="eastAsia" w:ascii="Times New Roman" w:hAnsi="Times New Roman" w:eastAsia="仿宋_GB2312"/>
          <w:sz w:val="32"/>
          <w:szCs w:val="32"/>
        </w:rPr>
        <w:t>%，决算数大于年初预算数的主要原因是：</w:t>
      </w:r>
      <w:r>
        <w:rPr>
          <w:rFonts w:hint="eastAsia" w:ascii="仿宋_GB2312" w:hAnsi="仿宋_GB2312" w:eastAsia="仿宋_GB2312" w:cs="仿宋_GB2312"/>
          <w:sz w:val="32"/>
          <w:szCs w:val="32"/>
        </w:rPr>
        <w:t>年中</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追加专项资金</w:t>
      </w:r>
      <w:r>
        <w:rPr>
          <w:rFonts w:hint="eastAsia" w:ascii="仿宋_GB2312" w:hAnsi="仿宋_GB2312" w:eastAsia="仿宋_GB2312" w:cs="仿宋_GB2312"/>
          <w:sz w:val="32"/>
          <w:szCs w:val="32"/>
          <w:lang w:eastAsia="zh-CN"/>
        </w:rPr>
        <w:t>。</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一般公共服务支出（类）市场监督管理事务（款）质量安全监管（项）。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170.00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263.00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154.71</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年中调整，追加质检中心建设费用。</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一般公共服务支出（类）市场监督管理事务（款）食品安全监管（项）。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342.40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324.20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94.68</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仿宋_GB2312" w:hAnsi="仿宋_GB2312" w:eastAsia="仿宋_GB2312" w:cs="仿宋_GB2312"/>
          <w:sz w:val="32"/>
          <w:szCs w:val="32"/>
        </w:rPr>
        <w:t>年中具体监管任务变动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导致经费使用情况与预算不符</w:t>
      </w:r>
      <w:r>
        <w:rPr>
          <w:rFonts w:hint="eastAsia" w:ascii="Times New Roman" w:hAnsi="Times New Roman" w:eastAsia="仿宋_GB2312"/>
          <w:sz w:val="32"/>
          <w:szCs w:val="32"/>
          <w:lang w:eastAsia="zh-CN"/>
        </w:rPr>
        <w:t>。</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一般公共服务支出（类）市场监督管理事务（款）其他市场监督管理事务（项）。</w:t>
      </w:r>
    </w:p>
    <w:p>
      <w:pPr>
        <w:autoSpaceDE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160.70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517.83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322.23</w:t>
      </w:r>
      <w:r>
        <w:rPr>
          <w:rFonts w:hint="eastAsia" w:ascii="Times New Roman" w:hAnsi="Times New Roman" w:eastAsia="仿宋_GB2312"/>
          <w:sz w:val="32"/>
          <w:szCs w:val="32"/>
        </w:rPr>
        <w:t>%，决算数大于年初预算数的主要原因是：</w:t>
      </w:r>
      <w:r>
        <w:rPr>
          <w:rFonts w:hint="eastAsia" w:ascii="仿宋_GB2312" w:hAnsi="仿宋_GB2312" w:eastAsia="仿宋_GB2312" w:cs="仿宋_GB2312"/>
          <w:sz w:val="32"/>
          <w:szCs w:val="32"/>
          <w:lang w:eastAsia="zh-CN"/>
        </w:rPr>
        <w:t>收到省级项目资金，</w:t>
      </w:r>
      <w:r>
        <w:rPr>
          <w:rFonts w:hint="eastAsia" w:ascii="仿宋_GB2312" w:hAnsi="仿宋_GB2312" w:eastAsia="仿宋_GB2312" w:cs="仿宋_GB2312"/>
          <w:sz w:val="32"/>
          <w:szCs w:val="32"/>
        </w:rPr>
        <w:t>年中具体监管任务变动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导致经费使用情况与预算不符。</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科学技术支出（类）其他科学技术支出（款）其他科学技术支出（项）。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132.70</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rPr>
        <w:t>年中追加专项资金，年初未纳入预算。</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社会保障和就业支出（类）抚恤（款）死亡抚恤（项）。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33.43</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rPr>
        <w:t>该项支出全部为死亡抚恤金。死亡抚恤无法做事先预算，只能在实际情况中再做调整。</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农林水支出（类）巩固脱贫衔接乡村振兴（款）其他巩固脱贫衔接乡村振兴支出（项）。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8.00</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rPr>
        <w:t>年中追加专项资金，年初未纳入预算。</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住房保障支出（类）住房改革支出（款）住房公积金（项）。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183.32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183.32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决算数与年初预算数一致</w:t>
      </w:r>
      <w:r>
        <w:rPr>
          <w:rFonts w:hint="eastAsia" w:ascii="仿宋_GB2312" w:hAnsi="仿宋_GB2312" w:eastAsia="仿宋_GB2312" w:cs="仿宋_GB2312"/>
          <w:sz w:val="32"/>
          <w:szCs w:val="32"/>
          <w:lang w:eastAsia="zh-CN"/>
        </w:rPr>
        <w:t>。</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粮油物资储备支出（类）粮油物资事务（款）其他粮油物资事务支出（项）。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10.00</w:t>
      </w:r>
      <w:r>
        <w:rPr>
          <w:rFonts w:hint="eastAsia" w:ascii="Times New Roman" w:hAnsi="Times New Roman" w:eastAsia="仿宋_GB2312"/>
          <w:sz w:val="32"/>
          <w:szCs w:val="32"/>
        </w:rPr>
        <w:t>万元，决算数大于（小于）年初预算数的主要原因是：</w:t>
      </w:r>
      <w:r>
        <w:rPr>
          <w:rFonts w:hint="eastAsia" w:ascii="仿宋_GB2312" w:hAnsi="仿宋_GB2312" w:eastAsia="仿宋_GB2312" w:cs="仿宋_GB2312"/>
          <w:sz w:val="32"/>
          <w:szCs w:val="32"/>
        </w:rPr>
        <w:t>年中追加专项资金，年初未纳入预算。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3511.71</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人员经费</w:t>
      </w:r>
      <w:r>
        <w:rPr>
          <w:rFonts w:hint="eastAsia" w:ascii="Times New Roman" w:hAnsi="Times New Roman" w:eastAsia="仿宋_GB2312"/>
          <w:sz w:val="32"/>
          <w:szCs w:val="32"/>
          <w:lang w:val="en-US" w:eastAsia="zh-CN"/>
        </w:rPr>
        <w:t>3352.60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95.47</w:t>
      </w:r>
      <w:r>
        <w:rPr>
          <w:rFonts w:hint="eastAsia" w:ascii="Times New Roman" w:hAnsi="Times New Roman" w:eastAsia="仿宋_GB2312"/>
          <w:sz w:val="32"/>
          <w:szCs w:val="32"/>
        </w:rPr>
        <w:t>%,主要包括基本工资、津贴补贴、奖金、伙食补助费</w:t>
      </w:r>
      <w:r>
        <w:rPr>
          <w:rFonts w:hint="eastAsia" w:ascii="仿宋_GB2312" w:hAnsi="仿宋_GB2312" w:eastAsia="仿宋_GB2312" w:cs="仿宋_GB2312"/>
          <w:sz w:val="32"/>
          <w:szCs w:val="32"/>
        </w:rPr>
        <w:t>、绩效工资、机关事业单位基本养老保险缴费、职工基本医疗保险缴费、公务员医疗补助缴费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其他社会保障缴费、住房公积金、其他工资福利支出、离休费、退休费、抚恤金、生活补助、奖励金、其他对个人和家庭的补助</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rPr>
        <w:t>公用经费</w:t>
      </w:r>
      <w:r>
        <w:rPr>
          <w:rFonts w:hint="eastAsia" w:ascii="Times New Roman" w:hAnsi="Times New Roman" w:eastAsia="仿宋_GB2312"/>
          <w:sz w:val="32"/>
          <w:szCs w:val="32"/>
          <w:lang w:val="en-US" w:eastAsia="zh-CN"/>
        </w:rPr>
        <w:t>159.11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4.53</w:t>
      </w:r>
      <w:r>
        <w:rPr>
          <w:rFonts w:hint="eastAsia" w:ascii="Times New Roman" w:hAnsi="Times New Roman" w:eastAsia="仿宋_GB2312"/>
          <w:sz w:val="32"/>
          <w:szCs w:val="32"/>
        </w:rPr>
        <w:t>%，主要包括</w:t>
      </w:r>
      <w:r>
        <w:rPr>
          <w:rFonts w:hint="eastAsia" w:ascii="仿宋_GB2312" w:hAnsi="仿宋_GB2312" w:eastAsia="仿宋_GB2312" w:cs="仿宋_GB2312"/>
          <w:sz w:val="32"/>
          <w:szCs w:val="32"/>
        </w:rPr>
        <w:t>办公费、印刷费、水费、电费、邮电费、差旅费、维修（护）费</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rPr>
        <w:t>会议费、培训费、公务接待费、劳务费、委托业务费、工会经费、公务用车运行维护费、其他商品和服务支出。</w:t>
      </w:r>
    </w:p>
    <w:p>
      <w:pPr>
        <w:pStyle w:val="10"/>
        <w:keepNext w:val="0"/>
        <w:keepLines w:val="0"/>
        <w:pageBreakBefore w:val="0"/>
        <w:widowControl w:val="0"/>
        <w:numPr>
          <w:ilvl w:val="0"/>
          <w:numId w:val="4"/>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“三公”经费财政拨款支出决算为</w:t>
      </w:r>
      <w:r>
        <w:rPr>
          <w:rFonts w:hint="eastAsia" w:ascii="Times New Roman" w:hAnsi="Times New Roman" w:eastAsia="仿宋_GB2312"/>
          <w:sz w:val="32"/>
          <w:szCs w:val="32"/>
          <w:lang w:val="en-US" w:eastAsia="zh-CN"/>
        </w:rPr>
        <w:t>14.61</w:t>
      </w:r>
      <w:r>
        <w:rPr>
          <w:rFonts w:hint="eastAsia" w:ascii="Times New Roman" w:hAnsi="Times New Roman" w:eastAsia="仿宋_GB2312"/>
          <w:sz w:val="32"/>
          <w:szCs w:val="32"/>
        </w:rPr>
        <w:t>万元，其中：公务接待费支出决算为</w:t>
      </w:r>
      <w:r>
        <w:rPr>
          <w:rFonts w:hint="eastAsia" w:ascii="Times New Roman" w:hAnsi="Times New Roman" w:eastAsia="仿宋_GB2312"/>
          <w:sz w:val="32"/>
          <w:szCs w:val="32"/>
          <w:lang w:val="en-US" w:eastAsia="zh-CN"/>
        </w:rPr>
        <w:t>3.48</w:t>
      </w:r>
      <w:r>
        <w:rPr>
          <w:rFonts w:hint="eastAsia" w:ascii="Times New Roman" w:hAnsi="Times New Roman" w:eastAsia="仿宋_GB2312"/>
          <w:sz w:val="32"/>
          <w:szCs w:val="32"/>
        </w:rPr>
        <w:t>万元，公务用车运行维护费支出决算为</w:t>
      </w:r>
      <w:r>
        <w:rPr>
          <w:rFonts w:hint="eastAsia" w:ascii="Times New Roman" w:hAnsi="Times New Roman" w:eastAsia="仿宋_GB2312"/>
          <w:sz w:val="32"/>
          <w:szCs w:val="32"/>
          <w:lang w:val="en-US" w:eastAsia="zh-CN"/>
        </w:rPr>
        <w:t>11.13</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3.48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23.82</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11.13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76.18</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公务接待费支出决算为</w:t>
      </w:r>
      <w:r>
        <w:rPr>
          <w:rFonts w:hint="eastAsia" w:ascii="Times New Roman" w:hAnsi="Times New Roman" w:eastAsia="仿宋_GB2312"/>
          <w:sz w:val="32"/>
          <w:szCs w:val="32"/>
          <w:lang w:val="en-US" w:eastAsia="zh-CN"/>
        </w:rPr>
        <w:t>3.48</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highlight w:val="none"/>
          <w:lang w:val="en-US" w:eastAsia="zh-CN"/>
        </w:rPr>
        <w:t>79</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397</w:t>
      </w:r>
      <w:r>
        <w:rPr>
          <w:rFonts w:hint="eastAsia" w:ascii="Times New Roman" w:hAnsi="Times New Roman" w:eastAsia="仿宋_GB2312"/>
          <w:sz w:val="32"/>
          <w:szCs w:val="32"/>
        </w:rPr>
        <w:t>人次，主要是</w:t>
      </w:r>
      <w:r>
        <w:rPr>
          <w:rFonts w:hint="eastAsia" w:ascii="仿宋_GB2312" w:hAnsi="仿宋_GB2312" w:eastAsia="仿宋_GB2312" w:cs="仿宋_GB2312"/>
          <w:sz w:val="32"/>
          <w:szCs w:val="32"/>
        </w:rPr>
        <w:t>上级检查调研发生发生的接待</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11.13</w:t>
      </w:r>
      <w:r>
        <w:rPr>
          <w:rFonts w:hint="eastAsia" w:ascii="Times New Roman" w:hAnsi="Times New Roman" w:eastAsia="仿宋_GB2312"/>
          <w:sz w:val="32"/>
          <w:szCs w:val="32"/>
        </w:rPr>
        <w:t>万元，其中：公务用车运行维护费</w:t>
      </w:r>
      <w:r>
        <w:rPr>
          <w:rFonts w:hint="eastAsia" w:ascii="Times New Roman" w:hAnsi="Times New Roman" w:eastAsia="仿宋_GB2312"/>
          <w:sz w:val="32"/>
          <w:szCs w:val="32"/>
          <w:lang w:val="en-US" w:eastAsia="zh-CN"/>
        </w:rPr>
        <w:t>11.13</w:t>
      </w:r>
      <w:r>
        <w:rPr>
          <w:rFonts w:hint="eastAsia" w:ascii="Times New Roman" w:hAnsi="Times New Roman" w:eastAsia="仿宋_GB2312"/>
          <w:sz w:val="32"/>
          <w:szCs w:val="32"/>
        </w:rPr>
        <w:t>万元，主要是</w:t>
      </w:r>
      <w:r>
        <w:rPr>
          <w:rFonts w:hint="eastAsia" w:ascii="仿宋_GB2312" w:hAnsi="仿宋_GB2312" w:eastAsia="仿宋_GB2312" w:cs="仿宋_GB2312"/>
          <w:sz w:val="32"/>
          <w:szCs w:val="32"/>
        </w:rPr>
        <w:t>公务用车燃油、维修及保险</w:t>
      </w:r>
      <w:r>
        <w:rPr>
          <w:rFonts w:hint="eastAsia" w:ascii="Times New Roman" w:hAnsi="Times New Roman" w:eastAsia="仿宋_GB2312"/>
          <w:sz w:val="32"/>
          <w:szCs w:val="32"/>
        </w:rPr>
        <w:t>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spacing w:line="7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我</w:t>
      </w:r>
      <w:r>
        <w:rPr>
          <w:rFonts w:hint="eastAsia" w:ascii="仿宋" w:hAnsi="仿宋" w:eastAsia="仿宋" w:cs="Calibri"/>
          <w:sz w:val="32"/>
          <w:szCs w:val="32"/>
        </w:rPr>
        <w:t>单位无政府性基金收支。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159.11</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62.7</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28.27</w:t>
      </w:r>
      <w:r>
        <w:rPr>
          <w:rFonts w:hint="eastAsia" w:ascii="Times New Roman" w:hAnsi="Times New Roman" w:eastAsia="仿宋_GB2312"/>
          <w:sz w:val="32"/>
          <w:szCs w:val="32"/>
        </w:rPr>
        <w:t>%。主要原因是：</w:t>
      </w:r>
      <w:r>
        <w:rPr>
          <w:rFonts w:hint="eastAsia" w:ascii="仿宋_GB2312" w:hAnsi="仿宋_GB2312" w:eastAsia="仿宋_GB2312" w:cs="仿宋_GB2312"/>
          <w:sz w:val="32"/>
          <w:szCs w:val="32"/>
        </w:rPr>
        <w:t>厉行节约，按要求精简费用，提高资金利用率所致</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1.79</w:t>
      </w:r>
      <w:r>
        <w:rPr>
          <w:rFonts w:hint="eastAsia" w:ascii="Times New Roman" w:hAnsi="Times New Roman" w:eastAsia="仿宋_GB2312"/>
          <w:sz w:val="32"/>
          <w:szCs w:val="32"/>
        </w:rPr>
        <w:t>万元，用于召开</w:t>
      </w:r>
      <w:r>
        <w:rPr>
          <w:rFonts w:hint="eastAsia" w:ascii="仿宋_GB2312" w:hAnsi="仿宋_GB2312" w:eastAsia="仿宋_GB2312" w:cs="仿宋_GB2312"/>
          <w:sz w:val="32"/>
          <w:szCs w:val="32"/>
        </w:rPr>
        <w:t>及参加市场监管相关等上级或本级的</w:t>
      </w:r>
      <w:r>
        <w:rPr>
          <w:rFonts w:hint="eastAsia" w:ascii="Times New Roman" w:hAnsi="Times New Roman" w:eastAsia="仿宋_GB2312"/>
          <w:sz w:val="32"/>
          <w:szCs w:val="32"/>
        </w:rPr>
        <w:t>会议，人数</w:t>
      </w:r>
      <w:r>
        <w:rPr>
          <w:rFonts w:hint="eastAsia" w:ascii="Times New Roman" w:hAnsi="Times New Roman" w:eastAsia="仿宋_GB2312"/>
          <w:sz w:val="32"/>
          <w:szCs w:val="32"/>
          <w:highlight w:val="none"/>
          <w:lang w:val="en-US" w:eastAsia="zh-CN"/>
        </w:rPr>
        <w:t>179</w:t>
      </w:r>
      <w:r>
        <w:rPr>
          <w:rFonts w:hint="eastAsia" w:ascii="Times New Roman" w:hAnsi="Times New Roman" w:eastAsia="仿宋_GB2312"/>
          <w:sz w:val="32"/>
          <w:szCs w:val="32"/>
        </w:rPr>
        <w:t>人，内容为</w:t>
      </w:r>
      <w:r>
        <w:rPr>
          <w:rFonts w:hint="eastAsia" w:ascii="仿宋_GB2312" w:hAnsi="仿宋_GB2312" w:eastAsia="仿宋_GB2312" w:cs="仿宋_GB2312"/>
          <w:sz w:val="32"/>
          <w:szCs w:val="32"/>
        </w:rPr>
        <w:t>食品安全监管、特种设备安全监管、质量监管、知识产权等相关工作内容</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4.00</w:t>
      </w:r>
      <w:r>
        <w:rPr>
          <w:rFonts w:hint="eastAsia" w:ascii="Times New Roman" w:hAnsi="Times New Roman" w:eastAsia="仿宋_GB2312"/>
          <w:sz w:val="32"/>
          <w:szCs w:val="32"/>
        </w:rPr>
        <w:t>万元，用于开展</w:t>
      </w:r>
      <w:r>
        <w:rPr>
          <w:rFonts w:hint="eastAsia" w:ascii="仿宋_GB2312" w:hAnsi="仿宋_GB2312" w:eastAsia="仿宋_GB2312" w:cs="仿宋_GB2312"/>
          <w:sz w:val="32"/>
          <w:szCs w:val="32"/>
        </w:rPr>
        <w:t>及参加市场监管相关等上级或本级的</w:t>
      </w:r>
      <w:r>
        <w:rPr>
          <w:rFonts w:hint="eastAsia" w:ascii="Times New Roman" w:hAnsi="Times New Roman" w:eastAsia="仿宋_GB2312"/>
          <w:sz w:val="32"/>
          <w:szCs w:val="32"/>
        </w:rPr>
        <w:t>培训，人数</w:t>
      </w:r>
      <w:r>
        <w:rPr>
          <w:rFonts w:hint="eastAsia" w:ascii="Times New Roman" w:hAnsi="Times New Roman" w:eastAsia="仿宋_GB2312"/>
          <w:sz w:val="32"/>
          <w:szCs w:val="32"/>
          <w:highlight w:val="none"/>
          <w:lang w:val="en-US" w:eastAsia="zh-CN"/>
        </w:rPr>
        <w:t>134</w:t>
      </w:r>
      <w:r>
        <w:rPr>
          <w:rFonts w:hint="eastAsia" w:ascii="Times New Roman" w:hAnsi="Times New Roman" w:eastAsia="仿宋_GB2312"/>
          <w:sz w:val="32"/>
          <w:szCs w:val="32"/>
        </w:rPr>
        <w:t>人，内容为</w:t>
      </w:r>
      <w:r>
        <w:rPr>
          <w:rFonts w:hint="eastAsia" w:ascii="仿宋_GB2312" w:hAnsi="仿宋_GB2312" w:eastAsia="仿宋_GB2312" w:cs="仿宋_GB2312"/>
          <w:sz w:val="32"/>
          <w:szCs w:val="32"/>
        </w:rPr>
        <w:t>食品安全监管、特种设备监管、药品监管等相关工作内容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highlight w:val="none"/>
          <w:lang w:val="en-US" w:eastAsia="zh-CN"/>
        </w:rPr>
        <w:t>185.10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78.53</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0.69</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105.88</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5.00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2.70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4.00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2.16</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辆，其中，执法执勤用车</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Times New Roman"/>
          <w:sz w:val="32"/>
          <w:lang w:val="en-US" w:eastAsia="zh-CN"/>
        </w:rPr>
      </w:pPr>
      <w:r>
        <w:rPr>
          <w:rFonts w:hint="eastAsia" w:ascii="仿宋" w:hAnsi="仿宋" w:eastAsia="仿宋" w:cs="Times New Roman"/>
          <w:sz w:val="32"/>
          <w:lang w:val="en-US" w:eastAsia="zh-CN"/>
        </w:rPr>
        <w:t>持续优化营商环境，进一步删繁就简，企业开办时间压缩至1个工作日内，实现“一窗通办”全程“零成本”，截止2022年年底，新增市场主体7733家，增长率为16.88%，为2000家新开办企业赠送印章，企业开办时速居全省前列；力促商标、地理标志等知识产权保护工作，全年商标累计有效注册量7165件，同比增长20.26%，专利授权606件，同比增长19.76%；</w:t>
      </w:r>
      <w:r>
        <w:rPr>
          <w:rFonts w:hint="default" w:ascii="仿宋" w:hAnsi="仿宋" w:eastAsia="仿宋" w:cs="Times New Roman"/>
          <w:sz w:val="32"/>
          <w:lang w:val="en-US" w:eastAsia="zh-CN"/>
        </w:rPr>
        <w:t>切实加强食品安全监管</w:t>
      </w:r>
      <w:r>
        <w:rPr>
          <w:rFonts w:hint="eastAsia" w:ascii="仿宋" w:hAnsi="仿宋" w:eastAsia="仿宋" w:cs="Times New Roman"/>
          <w:sz w:val="32"/>
          <w:lang w:val="en-US" w:eastAsia="zh-CN"/>
        </w:rPr>
        <w:t>，</w:t>
      </w:r>
      <w:r>
        <w:rPr>
          <w:rFonts w:hint="default" w:ascii="仿宋" w:hAnsi="仿宋" w:eastAsia="仿宋" w:cs="Times New Roman"/>
          <w:sz w:val="32"/>
          <w:lang w:val="en-US" w:eastAsia="zh-CN"/>
        </w:rPr>
        <w:t>全市餐饮分级评定工作基本完成，实现智慧监管平台风险分级完成率99.2%、监督检查覆盖率99.1%，食品安全形势稳中向好</w:t>
      </w:r>
      <w:r>
        <w:rPr>
          <w:rFonts w:hint="eastAsia" w:ascii="仿宋" w:hAnsi="仿宋" w:eastAsia="仿宋" w:cs="Times New Roman"/>
          <w:sz w:val="32"/>
          <w:lang w:val="en-US" w:eastAsia="zh-CN"/>
        </w:rPr>
        <w:t>；全力保障全市防疫用品的市场供应和用药用械安全，对我市1家疾病预防控制机构、18家疫苗接种单位，228家药品经营企业开展了全覆盖的监督检查，约谈8家药品零售企业代表；深入推动市场监管领域特种设备安全监管“强执法防事故”行动，聚焦隐患排查，检查特种设备使用单位233家次，抽查特种设备890台（套），排查各类安全隐患297条，查处各类特种设备违法案件21起；积极开展消防产品、成品油、塑料、电线电缆等重点领域专项整治，全年开展省、市、县三级产品质量监督抽查254批次，全市未发生质量事故。</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ind w:firstLine="640" w:firstLineChars="200"/>
        <w:rPr>
          <w:sz w:val="72"/>
          <w:szCs w:val="72"/>
        </w:rPr>
      </w:pPr>
      <w:r>
        <w:rPr>
          <w:rFonts w:hint="eastAsia" w:ascii="仿宋" w:hAnsi="仿宋" w:eastAsia="仿宋"/>
          <w:sz w:val="32"/>
          <w:szCs w:val="32"/>
        </w:rPr>
        <w:t>绩效评价资料收集不全面，资金使用部门不注重收集评价资料，导致在评价过程中缺乏有说服力的证据。</w:t>
      </w:r>
      <w:r>
        <w:rPr>
          <w:rFonts w:hint="eastAsia" w:ascii="仿宋" w:hAnsi="仿宋" w:eastAsia="仿宋"/>
          <w:sz w:val="32"/>
          <w:szCs w:val="32"/>
          <w:lang w:eastAsia="zh-CN"/>
        </w:rPr>
        <w:t>我局会</w:t>
      </w:r>
      <w:r>
        <w:rPr>
          <w:rFonts w:hint="eastAsia" w:ascii="仿宋" w:hAnsi="仿宋" w:eastAsia="仿宋"/>
          <w:sz w:val="32"/>
          <w:szCs w:val="32"/>
        </w:rPr>
        <w:t>加强对各部门和相关人员在财政资金专项支出绩效管理方面的培训，提升单位专项资金绩效管理水平</w:t>
      </w:r>
      <w:r>
        <w:rPr>
          <w:rFonts w:hint="eastAsia" w:ascii="仿宋" w:hAnsi="仿宋" w:eastAsia="仿宋"/>
          <w:sz w:val="32"/>
          <w:szCs w:val="32"/>
          <w:lang w:eastAsia="zh-CN"/>
        </w:rPr>
        <w:t>。</w:t>
      </w:r>
      <w:r>
        <w:rPr>
          <w:rFonts w:hint="eastAsia" w:ascii="仿宋" w:hAnsi="仿宋" w:eastAsia="仿宋"/>
          <w:sz w:val="32"/>
          <w:szCs w:val="32"/>
        </w:rPr>
        <w:t>按照“谁使用、谁申报” 的原则，加强资金使用部门绩效评价意识，细化绩效目标，提高绩效评价工作的操作性。</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一、</w:t>
      </w:r>
      <w:r>
        <w:rPr>
          <w:rFonts w:ascii="华文仿宋" w:hAnsi="华文仿宋" w:eastAsia="华文仿宋" w:cs="Times New Roman"/>
          <w:sz w:val="32"/>
          <w:szCs w:val="32"/>
        </w:rPr>
        <w:t>财政拨款收入：指中央财政当年拨付的资金。</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二、</w:t>
      </w:r>
      <w:r>
        <w:rPr>
          <w:rFonts w:hint="eastAsia" w:ascii="华文仿宋" w:hAnsi="华文仿宋" w:eastAsia="华文仿宋" w:cs="Times New Roman"/>
          <w:sz w:val="32"/>
          <w:szCs w:val="32"/>
        </w:rPr>
        <w:t>事业收入：指事业单位开展专业业务活动及辅助活动所取得的收入。如：中国财政杂志社的刊物发行收入，中国注册会计师协会、中国资产评估协会、中国国债协会、中国会计学会收取的会费收入等。</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三、</w:t>
      </w:r>
      <w:r>
        <w:rPr>
          <w:rFonts w:hint="eastAsia" w:ascii="华文仿宋" w:hAnsi="华文仿宋" w:eastAsia="华文仿宋" w:cs="Times New Roman"/>
          <w:sz w:val="32"/>
          <w:szCs w:val="32"/>
        </w:rPr>
        <w:t>经营收入：指事业单位在专业业务活动及其辅助活动之外开展非独立核算经营活动取得的收入。如：中国财政杂志社广告收入等。</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四、</w:t>
      </w:r>
      <w:r>
        <w:rPr>
          <w:rFonts w:hint="eastAsia" w:ascii="华文仿宋" w:hAnsi="华文仿宋" w:eastAsia="华文仿宋" w:cs="Times New Roman"/>
          <w:sz w:val="32"/>
          <w:szCs w:val="32"/>
        </w:rPr>
        <w:t>其他收入：指除上述“财政拨款收入” 、 “事业收入” 、“经营收入”等以外的收入。主要是按规定动用的售房收入、存款利息收入等。</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五、</w:t>
      </w:r>
      <w:r>
        <w:rPr>
          <w:rFonts w:hint="eastAsia" w:ascii="华文仿宋" w:hAnsi="华文仿宋" w:eastAsia="华文仿宋" w:cs="Times New Roman"/>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六、</w:t>
      </w:r>
      <w:r>
        <w:rPr>
          <w:rFonts w:hint="eastAsia" w:ascii="华文仿宋" w:hAnsi="华文仿宋" w:eastAsia="华文仿宋" w:cs="Times New Roman"/>
          <w:sz w:val="32"/>
          <w:szCs w:val="32"/>
        </w:rPr>
        <w:t>年初结转和结余：指以前年度尚未完成、结转到本年按有关规定继续使用的资金。</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七、</w:t>
      </w:r>
      <w:r>
        <w:rPr>
          <w:rFonts w:hint="eastAsia" w:ascii="华文仿宋" w:hAnsi="华文仿宋" w:eastAsia="华文仿宋" w:cs="Times New Roman"/>
          <w:sz w:val="32"/>
          <w:szCs w:val="32"/>
        </w:rPr>
        <w:t>结余分配：指事业单位按规定提取的职工福利基金、事业基金和缴纳的所得税，以及建设单位按规定应交回的基本建设竣工项目结余资金。</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八、</w:t>
      </w:r>
      <w:r>
        <w:rPr>
          <w:rFonts w:hint="eastAsia" w:ascii="华文仿宋" w:hAnsi="华文仿宋" w:eastAsia="华文仿宋" w:cs="Times New Roman"/>
          <w:sz w:val="32"/>
          <w:szCs w:val="32"/>
        </w:rPr>
        <w:t>年末结转和结余：指本年度或以前年度预算安排、因客观条件发生变化无法按原计划实施，需要延迟到以后年度按有关规定继续使用的资金。</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九、</w:t>
      </w:r>
      <w:r>
        <w:rPr>
          <w:rFonts w:hint="eastAsia" w:ascii="华文仿宋" w:hAnsi="华文仿宋" w:eastAsia="华文仿宋" w:cs="Times New Roman"/>
          <w:sz w:val="32"/>
          <w:szCs w:val="32"/>
        </w:rPr>
        <w:t>基本支出：指为保障机构正常运转、完成日常工作任务而发生的人员支出和公用支出。</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十、</w:t>
      </w:r>
      <w:r>
        <w:rPr>
          <w:rFonts w:hint="eastAsia" w:ascii="华文仿宋" w:hAnsi="华文仿宋" w:eastAsia="华文仿宋" w:cs="Times New Roman"/>
          <w:sz w:val="32"/>
          <w:szCs w:val="32"/>
        </w:rPr>
        <w:t>项目支出：指在基本支出之外为完成特定行政任务和事业发展目标所发生的支出。</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十一、</w:t>
      </w:r>
      <w:r>
        <w:rPr>
          <w:rFonts w:hint="eastAsia" w:ascii="华文仿宋" w:hAnsi="华文仿宋" w:eastAsia="华文仿宋" w:cs="Times New Roman"/>
          <w:sz w:val="32"/>
          <w:szCs w:val="32"/>
        </w:rPr>
        <w:t>经营支出：指事业单位在专业业务活动及其辅助活动之外开展非独立核算经营活动发生的支出。</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十二、</w:t>
      </w:r>
      <w:r>
        <w:rPr>
          <w:rFonts w:hint="eastAsia" w:ascii="华文仿宋" w:hAnsi="华文仿宋" w:eastAsia="华文仿宋" w:cs="Times New Roman"/>
          <w:sz w:val="32"/>
          <w:szCs w:val="32"/>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spacing w:line="360" w:lineRule="auto"/>
        <w:ind w:firstLine="640" w:firstLineChars="200"/>
        <w:rPr>
          <w:rFonts w:ascii="华文仿宋" w:hAnsi="华文仿宋" w:eastAsia="华文仿宋" w:cs="Times New Roman"/>
          <w:sz w:val="32"/>
          <w:szCs w:val="32"/>
        </w:rPr>
      </w:pPr>
      <w:r>
        <w:rPr>
          <w:rFonts w:hint="eastAsia" w:ascii="黑体" w:hAnsi="黑体" w:eastAsia="黑体" w:cs="黑体"/>
          <w:b w:val="0"/>
          <w:bCs/>
          <w:color w:val="000000"/>
          <w:kern w:val="0"/>
          <w:sz w:val="32"/>
          <w:szCs w:val="32"/>
          <w:lang w:val="en-US" w:eastAsia="zh-CN" w:bidi="ar-SA"/>
        </w:rPr>
        <w:t>十三、</w:t>
      </w:r>
      <w:r>
        <w:rPr>
          <w:rFonts w:hint="eastAsia" w:ascii="华文仿宋" w:hAnsi="华文仿宋" w:eastAsia="华文仿宋"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31AB3"/>
    <w:multiLevelType w:val="singleLevel"/>
    <w:tmpl w:val="A3531AB3"/>
    <w:lvl w:ilvl="0" w:tentative="0">
      <w:start w:val="3"/>
      <w:numFmt w:val="decimal"/>
      <w:suff w:val="nothing"/>
      <w:lvlText w:val="%1、"/>
      <w:lvlJc w:val="left"/>
    </w:lvl>
  </w:abstractNum>
  <w:abstractNum w:abstractNumId="1">
    <w:nsid w:val="FDA765CD"/>
    <w:multiLevelType w:val="singleLevel"/>
    <w:tmpl w:val="FDA765CD"/>
    <w:lvl w:ilvl="0" w:tentative="0">
      <w:start w:val="2"/>
      <w:numFmt w:val="chineseCounting"/>
      <w:suff w:val="nothing"/>
      <w:lvlText w:val="（%1）"/>
      <w:lvlJc w:val="left"/>
      <w:rPr>
        <w:rFonts w:hint="eastAsia"/>
      </w:rPr>
    </w:lvl>
  </w:abstractNum>
  <w:abstractNum w:abstractNumId="2">
    <w:nsid w:val="2AD265A0"/>
    <w:multiLevelType w:val="singleLevel"/>
    <w:tmpl w:val="2AD265A0"/>
    <w:lvl w:ilvl="0" w:tentative="0">
      <w:start w:val="7"/>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mIyMmJkMDY1NWM0NTBhNjRkYzc5OThlNWVlZmU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B75576"/>
    <w:rsid w:val="02EB4148"/>
    <w:rsid w:val="0341645D"/>
    <w:rsid w:val="042C7234"/>
    <w:rsid w:val="046643CE"/>
    <w:rsid w:val="061A394A"/>
    <w:rsid w:val="07C65FFF"/>
    <w:rsid w:val="10AC760C"/>
    <w:rsid w:val="11D5049D"/>
    <w:rsid w:val="12A00AB2"/>
    <w:rsid w:val="1811244B"/>
    <w:rsid w:val="1F6115C2"/>
    <w:rsid w:val="27D019DA"/>
    <w:rsid w:val="2E1B3283"/>
    <w:rsid w:val="31FD7870"/>
    <w:rsid w:val="320A5AE9"/>
    <w:rsid w:val="3AEE51F2"/>
    <w:rsid w:val="3BCE7B87"/>
    <w:rsid w:val="3EAB1BE5"/>
    <w:rsid w:val="44071E88"/>
    <w:rsid w:val="44E328EB"/>
    <w:rsid w:val="4FFE1A6E"/>
    <w:rsid w:val="51D11D27"/>
    <w:rsid w:val="523D116B"/>
    <w:rsid w:val="54C94F38"/>
    <w:rsid w:val="56F20776"/>
    <w:rsid w:val="5777D4F5"/>
    <w:rsid w:val="5D97217A"/>
    <w:rsid w:val="5E260B7A"/>
    <w:rsid w:val="5F021772"/>
    <w:rsid w:val="5FC6BB1E"/>
    <w:rsid w:val="5FF720F1"/>
    <w:rsid w:val="643E149E"/>
    <w:rsid w:val="6C453814"/>
    <w:rsid w:val="6D2A25C0"/>
    <w:rsid w:val="73516082"/>
    <w:rsid w:val="737D59BA"/>
    <w:rsid w:val="76567BAC"/>
    <w:rsid w:val="77C37683"/>
    <w:rsid w:val="79FF515B"/>
    <w:rsid w:val="7CB225D2"/>
    <w:rsid w:val="7E9F11B4"/>
    <w:rsid w:val="7F425682"/>
    <w:rsid w:val="7F70510E"/>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259</TotalTime>
  <ScaleCrop>false</ScaleCrop>
  <LinksUpToDate>false</LinksUpToDate>
  <CharactersWithSpaces>9008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雯</cp:lastModifiedBy>
  <cp:lastPrinted>2023-08-31T08:08:00Z</cp:lastPrinted>
  <dcterms:modified xsi:type="dcterms:W3CDTF">2023-09-04T07:34:00Z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0E6EBDACE87A45D8AA4977502D488904_12</vt:lpwstr>
  </property>
</Properties>
</file>