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202</w:t>
      </w:r>
      <w:r>
        <w:rPr>
          <w:rFonts w:hint="eastAsia"/>
          <w:b/>
          <w:sz w:val="36"/>
          <w:szCs w:val="36"/>
          <w:lang w:val="en-US" w:eastAsia="zh-CN"/>
        </w:rPr>
        <w:t>2</w:t>
      </w:r>
      <w:r>
        <w:rPr>
          <w:rFonts w:hint="eastAsia"/>
          <w:b/>
          <w:sz w:val="36"/>
          <w:szCs w:val="36"/>
        </w:rPr>
        <w:t>年</w:t>
      </w:r>
      <w:r>
        <w:rPr>
          <w:rFonts w:hint="eastAsia"/>
          <w:b/>
          <w:sz w:val="36"/>
          <w:szCs w:val="36"/>
          <w:lang w:eastAsia="zh-CN"/>
        </w:rPr>
        <w:t>沅江市财政局</w:t>
      </w:r>
      <w:r>
        <w:rPr>
          <w:rFonts w:hint="eastAsia"/>
          <w:b/>
          <w:sz w:val="36"/>
          <w:szCs w:val="36"/>
        </w:rPr>
        <w:t>绩效管理工作开展情况</w:t>
      </w:r>
    </w:p>
    <w:p>
      <w:r>
        <w:rPr>
          <w:rFonts w:hint="eastAsia"/>
        </w:rPr>
        <w:t xml:space="preserve">  </w:t>
      </w:r>
    </w:p>
    <w:p>
      <w:pPr>
        <w:ind w:firstLine="560" w:firstLineChars="200"/>
        <w:rPr>
          <w:rFonts w:ascii="仿宋_GB2312" w:hAnsi="宋体" w:eastAsia="仿宋_GB2312" w:cs="Times New Roman"/>
          <w:sz w:val="28"/>
          <w:szCs w:val="28"/>
        </w:rPr>
      </w:pPr>
      <w:r>
        <w:rPr>
          <w:rFonts w:hint="eastAsia" w:asciiTheme="minorEastAsia" w:hAnsiTheme="minorEastAsia"/>
          <w:sz w:val="28"/>
          <w:szCs w:val="28"/>
        </w:rPr>
        <w:t xml:space="preserve">  </w:t>
      </w:r>
      <w:r>
        <w:rPr>
          <w:rFonts w:hint="eastAsia" w:ascii="仿宋_GB2312" w:eastAsia="仿宋_GB2312"/>
        </w:rPr>
        <w:t xml:space="preserve"> </w:t>
      </w:r>
      <w:r>
        <w:rPr>
          <w:rFonts w:hint="eastAsia" w:ascii="仿宋_GB2312" w:eastAsia="仿宋_GB2312" w:cs="Times New Roman" w:hAnsiTheme="minorEastAsia"/>
          <w:sz w:val="28"/>
          <w:szCs w:val="28"/>
        </w:rPr>
        <w:t>2022年绩效评价股在局党组的领导和业务股室的配合下，扎实推进各项工作，较好的完成绩效评价各项</w:t>
      </w:r>
      <w:r>
        <w:rPr>
          <w:rFonts w:hint="eastAsia" w:ascii="仿宋_GB2312" w:hAnsi="宋体" w:eastAsia="仿宋_GB2312" w:cs="Times New Roman"/>
          <w:sz w:val="28"/>
          <w:szCs w:val="28"/>
        </w:rPr>
        <w:t>工作任务，现总结如下：</w:t>
      </w:r>
    </w:p>
    <w:p>
      <w:pPr>
        <w:ind w:firstLine="560" w:firstLineChars="200"/>
        <w:rPr>
          <w:rFonts w:ascii="仿宋_GB2312" w:eastAsia="仿宋_GB2312" w:hAnsiTheme="minorEastAsia"/>
          <w:color w:val="222222"/>
          <w:sz w:val="28"/>
          <w:szCs w:val="28"/>
          <w:shd w:val="clear" w:color="auto" w:fill="FFFFFF"/>
        </w:rPr>
      </w:pPr>
      <w:r>
        <w:rPr>
          <w:rFonts w:hint="eastAsia" w:ascii="仿宋_GB2312" w:eastAsia="仿宋_GB2312" w:hAnsiTheme="minorEastAsia"/>
          <w:color w:val="222222"/>
          <w:sz w:val="28"/>
          <w:szCs w:val="28"/>
          <w:shd w:val="clear" w:color="auto" w:fill="FFFFFF"/>
        </w:rPr>
        <w:t>一、</w:t>
      </w:r>
      <w:r>
        <w:rPr>
          <w:rFonts w:hint="eastAsia" w:ascii="仿宋_GB2312" w:hAnsi="Arial" w:eastAsia="仿宋_GB2312" w:cs="Arial"/>
          <w:b/>
          <w:bCs/>
          <w:color w:val="333333"/>
          <w:sz w:val="28"/>
          <w:szCs w:val="28"/>
        </w:rPr>
        <w:t>围绕目标管理，确保预算编制有目标</w:t>
      </w:r>
      <w:r>
        <w:rPr>
          <w:rFonts w:hint="eastAsia" w:ascii="仿宋_GB2312" w:eastAsia="仿宋_GB2312" w:hAnsiTheme="minorEastAsia"/>
          <w:color w:val="222222"/>
          <w:sz w:val="28"/>
          <w:szCs w:val="28"/>
          <w:shd w:val="clear" w:color="auto" w:fill="FFFFFF"/>
        </w:rPr>
        <w:t>。</w:t>
      </w:r>
    </w:p>
    <w:p>
      <w:pPr>
        <w:pStyle w:val="6"/>
        <w:shd w:val="clear" w:color="auto" w:fill="FFFFFF"/>
        <w:spacing w:before="0" w:beforeAutospacing="0" w:after="120" w:afterAutospacing="0" w:line="480" w:lineRule="auto"/>
        <w:ind w:firstLine="480"/>
        <w:rPr>
          <w:rFonts w:ascii="仿宋_GB2312" w:hAnsi="Arial" w:eastAsia="仿宋_GB2312" w:cs="Arial"/>
          <w:color w:val="333333"/>
        </w:rPr>
      </w:pPr>
      <w:r>
        <w:rPr>
          <w:rFonts w:hint="eastAsia" w:ascii="仿宋_GB2312" w:hAnsi="Arial" w:eastAsia="仿宋_GB2312" w:cs="Arial"/>
          <w:color w:val="333333"/>
          <w:sz w:val="28"/>
          <w:szCs w:val="28"/>
        </w:rPr>
        <w:t>在编制年初预算时，要求预算单位及时开展预算绩效目标申报工作，绩效目标申报实现全覆盖。预算编制时盯紧预算绩效支出目标，将行政目标与预算资源配置沟通起来，相互融合、相互贯穿、保持一致，确保预算编制有目标。</w:t>
      </w:r>
      <w:r>
        <w:rPr>
          <w:rFonts w:hint="eastAsia" w:ascii="仿宋_GB2312" w:eastAsia="仿宋_GB2312" w:cs="Times New Roman"/>
          <w:sz w:val="28"/>
          <w:szCs w:val="28"/>
        </w:rPr>
        <w:t>规范绩效目标编制，各单位结合预</w:t>
      </w:r>
      <w:r>
        <w:rPr>
          <w:rFonts w:hint="eastAsia" w:ascii="仿宋_GB2312" w:eastAsia="仿宋_GB2312" w:hAnsiTheme="minorEastAsia"/>
          <w:color w:val="222222"/>
          <w:sz w:val="28"/>
          <w:szCs w:val="28"/>
          <w:shd w:val="clear" w:color="auto" w:fill="FFFFFF"/>
        </w:rPr>
        <w:t>算编制有关规定，</w:t>
      </w:r>
      <w:r>
        <w:rPr>
          <w:rFonts w:hint="eastAsia" w:ascii="仿宋_GB2312" w:eastAsia="仿宋_GB2312" w:cs="Times New Roman"/>
          <w:sz w:val="28"/>
          <w:szCs w:val="28"/>
        </w:rPr>
        <w:t>组织项目、财务等相关人员按照有关要求认真编制绩效目标，</w:t>
      </w:r>
      <w:r>
        <w:rPr>
          <w:rFonts w:hint="eastAsia" w:ascii="仿宋_GB2312" w:eastAsia="仿宋_GB2312" w:hAnsiTheme="minorEastAsia"/>
          <w:color w:val="222222"/>
          <w:sz w:val="28"/>
          <w:szCs w:val="28"/>
          <w:shd w:val="clear" w:color="auto" w:fill="FFFFFF"/>
        </w:rPr>
        <w:t>市直及街道办事处共109个单位按时完成了绩效目标申报，部门整体支出绩效目标申报303233万元，其中单位专项支出绩效目标申报38821万元、市级专项支出绩效目标申报212201万元，与部门预算草案一同报人大审批。</w:t>
      </w:r>
    </w:p>
    <w:p>
      <w:pPr>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二、</w:t>
      </w:r>
      <w:r>
        <w:rPr>
          <w:rFonts w:hint="eastAsia" w:ascii="仿宋_GB2312" w:eastAsia="仿宋_GB2312"/>
          <w:b/>
          <w:bCs/>
          <w:color w:val="333333"/>
          <w:sz w:val="28"/>
          <w:szCs w:val="28"/>
          <w:shd w:val="clear" w:color="auto" w:fill="FFFFFF"/>
        </w:rPr>
        <w:t>围绕绩效评价，坚持预算完成有评价</w:t>
      </w:r>
      <w:r>
        <w:rPr>
          <w:rFonts w:hint="eastAsia" w:ascii="仿宋_GB2312" w:hAnsi="宋体" w:eastAsia="仿宋_GB2312" w:cs="Times New Roman"/>
          <w:b/>
          <w:sz w:val="28"/>
          <w:szCs w:val="28"/>
        </w:rPr>
        <w:t>。</w:t>
      </w:r>
    </w:p>
    <w:p>
      <w:pPr>
        <w:spacing w:line="560" w:lineRule="exact"/>
        <w:ind w:firstLine="700" w:firstLineChars="250"/>
        <w:rPr>
          <w:rFonts w:ascii="仿宋_GB2312" w:eastAsia="仿宋_GB2312" w:cs="Times New Roman" w:hAnsiTheme="minorEastAsia"/>
          <w:sz w:val="28"/>
          <w:szCs w:val="28"/>
        </w:rPr>
      </w:pPr>
      <w:r>
        <w:rPr>
          <w:rFonts w:hint="eastAsia" w:ascii="仿宋_GB2312" w:eastAsia="仿宋_GB2312"/>
          <w:color w:val="333333"/>
          <w:sz w:val="28"/>
          <w:szCs w:val="28"/>
          <w:shd w:val="clear" w:color="auto" w:fill="FFFFFF"/>
        </w:rPr>
        <w:t>规范自评，</w:t>
      </w:r>
      <w:r>
        <w:rPr>
          <w:rFonts w:hint="eastAsia" w:ascii="仿宋_GB2312" w:hAnsi="宋体" w:eastAsia="仿宋_GB2312" w:cs="Times New Roman"/>
          <w:sz w:val="28"/>
          <w:szCs w:val="28"/>
        </w:rPr>
        <w:t>结合年度决算编制工作，组织预算单位对本部门及所属单位的整体支出和专项支出开展绩效自评。按照省政府关于全面实施预算绩效管理的要求，</w:t>
      </w:r>
      <w:r>
        <w:rPr>
          <w:rFonts w:hint="eastAsia" w:ascii="仿宋_GB2312" w:eastAsia="仿宋_GB2312"/>
          <w:color w:val="333333"/>
          <w:sz w:val="28"/>
          <w:szCs w:val="28"/>
          <w:shd w:val="clear" w:color="auto" w:fill="FFFFFF"/>
        </w:rPr>
        <w:t>市财政局印发《沅江市财政局关于开展2021年度预算绩效自评工作的通知》明确规定绩效自评的内容、自评的步骤和工作要求，切实提高自评工作的可操作性和规范性，</w:t>
      </w:r>
      <w:r>
        <w:rPr>
          <w:rFonts w:hint="eastAsia" w:ascii="仿宋_GB2312" w:eastAsia="仿宋_GB2312" w:cs="Times New Roman" w:hAnsiTheme="minorEastAsia"/>
          <w:sz w:val="28"/>
          <w:szCs w:val="28"/>
        </w:rPr>
        <w:t>全市116个预算单位整体支出绩效自评金额为267965万元，项目支出绩效自评金额为75228万元，做到了绩效自评全面覆盖。同时，按照“谁评价、谁报告、谁公开”的原则，要求各单位对绩效评价工作的开展情况及绩效评价结果，在本单位网站上公开，接受社会监督。</w:t>
      </w:r>
    </w:p>
    <w:p>
      <w:pPr>
        <w:ind w:firstLine="275" w:firstLineChars="98"/>
        <w:rPr>
          <w:rFonts w:ascii="仿宋_GB2312" w:hAnsi="宋体" w:eastAsia="仿宋_GB2312" w:cs="Times New Roman"/>
          <w:b/>
          <w:sz w:val="28"/>
          <w:szCs w:val="28"/>
        </w:rPr>
      </w:pPr>
      <w:r>
        <w:rPr>
          <w:rFonts w:hint="eastAsia" w:ascii="仿宋_GB2312" w:hAnsi="宋体" w:eastAsia="仿宋_GB2312" w:cs="Times New Roman"/>
          <w:b/>
          <w:sz w:val="28"/>
          <w:szCs w:val="28"/>
        </w:rPr>
        <w:t>三、</w:t>
      </w:r>
      <w:r>
        <w:rPr>
          <w:rFonts w:hint="eastAsia" w:ascii="仿宋_GB2312" w:eastAsia="仿宋_GB2312"/>
          <w:b/>
          <w:bCs/>
          <w:color w:val="333333"/>
          <w:sz w:val="28"/>
          <w:szCs w:val="28"/>
          <w:shd w:val="clear" w:color="auto" w:fill="FFFFFF"/>
        </w:rPr>
        <w:t>立足重点，开展财政资金的绩效评价。</w:t>
      </w:r>
    </w:p>
    <w:p>
      <w:pPr>
        <w:spacing w:line="600" w:lineRule="exact"/>
        <w:ind w:firstLine="540" w:firstLineChars="193"/>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5月局党组召开了2021年绩效评价项目专题会，明确绩效评价的重要性，并印发了</w:t>
      </w:r>
      <w:r>
        <w:rPr>
          <w:rFonts w:hint="eastAsia" w:ascii="仿宋_GB2312" w:hAnsi="仿宋_GB2312" w:eastAsia="仿宋_GB2312" w:cs="仿宋_GB2312"/>
          <w:color w:val="333333"/>
          <w:sz w:val="28"/>
          <w:szCs w:val="28"/>
          <w:shd w:val="clear" w:color="auto" w:fill="FFFFFF"/>
        </w:rPr>
        <w:t>《沅江市财政局关于开展2019年-2021年度专项资金绩效评价工作的通知》和《沅江市财政局关于开展2021年度部门整体支出绩效评价工作的通知》，</w:t>
      </w:r>
      <w:r>
        <w:rPr>
          <w:rFonts w:hint="eastAsia" w:ascii="仿宋_GB2312" w:hAnsi="仿宋_GB2312" w:eastAsia="仿宋_GB2312" w:cs="仿宋_GB2312"/>
          <w:sz w:val="28"/>
          <w:szCs w:val="28"/>
        </w:rPr>
        <w:t>通过政府采购电子卖场平台，立足重点评价，扩大评价覆盖面</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sz w:val="28"/>
          <w:szCs w:val="28"/>
        </w:rPr>
        <w:t>从资金规模、项目性质、上年评价情况等筛选重点评价项目，</w:t>
      </w:r>
      <w:r>
        <w:rPr>
          <w:rFonts w:hint="eastAsia" w:ascii="仿宋_GB2312" w:hAnsi="仿宋_GB2312" w:eastAsia="仿宋_GB2312" w:cs="仿宋_GB2312"/>
          <w:kern w:val="0"/>
          <w:sz w:val="28"/>
          <w:szCs w:val="28"/>
        </w:rPr>
        <w:t>我局引入第三方机构委托湖南天盈和会计师事务所、恒信弘正会计师事务所有限责任公司对市自然资源局、住建局、教育局等18个预算单位2021年度的部门整体支出和专项支出共</w:t>
      </w:r>
      <w:r>
        <w:rPr>
          <w:rFonts w:hint="eastAsia" w:ascii="仿宋_GB2312" w:hAnsi="仿宋_GB2312" w:eastAsia="仿宋_GB2312" w:cs="仿宋_GB2312"/>
          <w:sz w:val="28"/>
          <w:szCs w:val="28"/>
        </w:rPr>
        <w:t>21个重点项目开展绩效评价</w:t>
      </w:r>
      <w:r>
        <w:rPr>
          <w:rFonts w:hint="eastAsia" w:ascii="仿宋_GB2312" w:hAnsi="仿宋_GB2312" w:eastAsia="仿宋_GB2312" w:cs="仿宋_GB2312"/>
          <w:color w:val="333333"/>
          <w:sz w:val="28"/>
          <w:szCs w:val="28"/>
          <w:shd w:val="clear" w:color="auto" w:fill="FFFFFF"/>
        </w:rPr>
        <w:t>，涉及</w:t>
      </w:r>
      <w:r>
        <w:rPr>
          <w:rFonts w:hint="eastAsia" w:ascii="仿宋_GB2312" w:hAnsi="仿宋_GB2312" w:eastAsia="仿宋_GB2312" w:cs="仿宋_GB2312"/>
          <w:sz w:val="28"/>
          <w:szCs w:val="28"/>
        </w:rPr>
        <w:t>资金4.88亿元，较上年增长50%。评价结果总体良好。</w:t>
      </w:r>
    </w:p>
    <w:p>
      <w:pPr>
        <w:pStyle w:val="11"/>
        <w:spacing w:line="600" w:lineRule="exact"/>
        <w:ind w:firstLine="560"/>
        <w:rPr>
          <w:rFonts w:ascii="黑体" w:hAnsi="黑体" w:eastAsia="黑体" w:cs="黑体"/>
          <w:bCs/>
          <w:sz w:val="28"/>
          <w:szCs w:val="28"/>
        </w:rPr>
      </w:pPr>
      <w:r>
        <w:rPr>
          <w:rFonts w:hint="eastAsia" w:ascii="黑体" w:hAnsi="黑体" w:eastAsia="黑体" w:cs="黑体"/>
          <w:bCs/>
          <w:sz w:val="28"/>
          <w:szCs w:val="28"/>
        </w:rPr>
        <w:t>1、绩效评价工作概况</w:t>
      </w:r>
    </w:p>
    <w:p>
      <w:pPr>
        <w:spacing w:line="600" w:lineRule="exact"/>
        <w:ind w:firstLine="540" w:firstLineChars="193"/>
        <w:rPr>
          <w:rFonts w:ascii="仿宋_GB2312" w:hAnsi="仿宋_GB2312" w:eastAsia="仿宋_GB2312" w:cs="仿宋_GB2312"/>
          <w:sz w:val="28"/>
          <w:szCs w:val="28"/>
        </w:rPr>
      </w:pPr>
      <w:r>
        <w:rPr>
          <w:rFonts w:hint="eastAsia" w:ascii="仿宋_GB2312" w:hAnsi="仿宋_GB2312" w:eastAsia="仿宋_GB2312" w:cs="仿宋_GB2312"/>
          <w:bCs/>
          <w:sz w:val="28"/>
          <w:szCs w:val="28"/>
        </w:rPr>
        <w:t>2022年7月,评价项目启动前</w:t>
      </w:r>
      <w:r>
        <w:rPr>
          <w:rFonts w:hint="eastAsia" w:ascii="仿宋_GB2312" w:hAnsi="仿宋_GB2312" w:eastAsia="仿宋_GB2312" w:cs="仿宋_GB2312"/>
          <w:sz w:val="28"/>
          <w:szCs w:val="28"/>
        </w:rPr>
        <w:t>成立了绩效评价工作小组，成员包括财政局有关绩效评价人员、湖南天盈和会计师事务所和恒信弘正会计师事务所相关人员，从7月—8月开展现场评价，历时55天，通过对预算单位绩效评价资料进行分类、整理、核查和分析，结合现场检查情况，按照确定的评价方法、评价指标、评价标准进行打分，形成绩效评价报告初稿，并于8月底已报市财政局审核。</w:t>
      </w:r>
    </w:p>
    <w:p>
      <w:pPr>
        <w:spacing w:line="600" w:lineRule="exact"/>
        <w:ind w:firstLine="540" w:firstLineChars="193"/>
        <w:rPr>
          <w:rFonts w:ascii="黑体" w:hAnsi="黑体" w:eastAsia="黑体" w:cs="黑体"/>
          <w:bCs/>
          <w:sz w:val="28"/>
          <w:szCs w:val="28"/>
        </w:rPr>
      </w:pPr>
      <w:r>
        <w:rPr>
          <w:rFonts w:hint="eastAsia" w:ascii="黑体" w:hAnsi="黑体" w:eastAsia="黑体" w:cs="黑体"/>
          <w:bCs/>
          <w:sz w:val="28"/>
          <w:szCs w:val="28"/>
        </w:rPr>
        <w:t>2、财政支出绩效评价工作基本情况</w:t>
      </w:r>
    </w:p>
    <w:p>
      <w:pPr>
        <w:pStyle w:val="4"/>
        <w:spacing w:line="600" w:lineRule="exact"/>
        <w:ind w:firstLine="540" w:firstLineChars="193"/>
        <w:rPr>
          <w:rFonts w:ascii="楷体_GB2312" w:hAnsi="楷体_GB2312" w:eastAsia="楷体_GB2312" w:cs="楷体_GB2312"/>
          <w:sz w:val="28"/>
          <w:szCs w:val="28"/>
        </w:rPr>
      </w:pPr>
      <w:r>
        <w:rPr>
          <w:rFonts w:hint="eastAsia" w:ascii="楷体_GB2312" w:hAnsi="楷体_GB2312" w:eastAsia="楷体_GB2312" w:cs="楷体_GB2312"/>
          <w:sz w:val="28"/>
          <w:szCs w:val="28"/>
        </w:rPr>
        <w:t>（1）整体支出绩效评价</w:t>
      </w:r>
    </w:p>
    <w:p>
      <w:pPr>
        <w:spacing w:line="600" w:lineRule="exact"/>
        <w:ind w:firstLine="540" w:firstLineChars="193"/>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整体支出绩效评价紧紧围绕部门职能，洞悉部门人、财、物资源与部门职能匹配情况，从宏观的层面把握单位的部门职能履行情况，从整体支出效益分析中精确地查找问题，有的放矢地进行改进，从而提高财政资金的使用效率。本次评价选择市自然资源局、住建局、移民局、园林养护中心、水利局、应急管理局、行政审批局、文广新局、医保局、民政局12个部门单位开展整体支出绩效评价，评价财政资金25466.78万元，从评价结果看，被评价部门平均得分为85.9分，最高得分93.29分，最低得分  78.97分（附表1）。被评价部门总体情况良好，预算编制质量较好，预决算信息公开符合要求，预算执行进度良好，财务制度及项目制度健全，基本达到预期效果。</w:t>
      </w:r>
    </w:p>
    <w:p>
      <w:pPr>
        <w:pStyle w:val="4"/>
        <w:spacing w:line="600" w:lineRule="exact"/>
        <w:ind w:firstLine="540" w:firstLineChars="193"/>
        <w:rPr>
          <w:rFonts w:ascii="楷体_GB2312" w:hAnsi="楷体_GB2312" w:eastAsia="楷体_GB2312" w:cs="楷体_GB2312"/>
          <w:sz w:val="28"/>
          <w:szCs w:val="28"/>
        </w:rPr>
      </w:pPr>
      <w:r>
        <w:rPr>
          <w:rFonts w:hint="eastAsia" w:ascii="楷体_GB2312" w:hAnsi="楷体_GB2312" w:eastAsia="楷体_GB2312" w:cs="楷体_GB2312"/>
          <w:sz w:val="28"/>
          <w:szCs w:val="28"/>
        </w:rPr>
        <w:t>（2）专项支出绩效评价</w:t>
      </w:r>
    </w:p>
    <w:p>
      <w:pPr>
        <w:spacing w:line="600" w:lineRule="exact"/>
        <w:ind w:firstLine="540" w:firstLineChars="193"/>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按照“资金量较大、代表性较强、社会关注度较高”的原则，</w:t>
      </w:r>
    </w:p>
    <w:p>
      <w:pPr>
        <w:spacing w:line="600" w:lineRule="exact"/>
        <w:ind w:firstLine="540" w:firstLineChars="193"/>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从本级预算安排项目中选择教育局维修改造专项、机关事务服务中心公车平台专项、融媒体中心设备购置专项、畜水中心五湖退养补偿经费等9个项目开展专项支出绩效评价工作，总评价金额23334.9万元，从评价结果看，被评价项目平均得分84.5分，最高得分89.4分，最低得分 78分(附表2)。被评价项目总体绩效目标明确，资金分配合理，项目管理较规范，项目完成良好，基本达到预期效果。</w:t>
      </w:r>
    </w:p>
    <w:p>
      <w:pPr>
        <w:ind w:firstLine="422" w:firstLineChars="150"/>
        <w:rPr>
          <w:rFonts w:ascii="仿宋_GB2312" w:eastAsia="仿宋_GB2312"/>
          <w:b/>
          <w:color w:val="333333"/>
          <w:sz w:val="28"/>
          <w:szCs w:val="28"/>
          <w:shd w:val="clear" w:color="auto" w:fill="FFFFFF"/>
        </w:rPr>
      </w:pPr>
      <w:r>
        <w:rPr>
          <w:rFonts w:hint="eastAsia" w:ascii="仿宋_GB2312" w:eastAsia="仿宋_GB2312"/>
          <w:b/>
          <w:color w:val="333333"/>
          <w:sz w:val="28"/>
          <w:szCs w:val="28"/>
          <w:shd w:val="clear" w:color="auto" w:fill="FFFFFF"/>
        </w:rPr>
        <w:t>四、协同业务股室，开展绩效评价工作。</w:t>
      </w:r>
    </w:p>
    <w:p>
      <w:pPr>
        <w:ind w:firstLine="420" w:firstLineChars="150"/>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协同业务股室拟定评价方案，设计调查问卷等工作，完成了2021年度县级特色品种小龙虾农业保险绩效评价，预算安排资金700万元，涉及全市12个镇、街道中心；完成了2021年度农业保险7233万元的绩效评价，涉及全市18个单位；完成了2018-2021年交通建设专项资金的绩效评价，涉及建设资金134069万元。</w:t>
      </w:r>
    </w:p>
    <w:p>
      <w:pPr>
        <w:ind w:firstLine="422" w:firstLineChars="150"/>
        <w:rPr>
          <w:rFonts w:ascii="仿宋_GB2312" w:eastAsia="仿宋_GB2312"/>
          <w:color w:val="333333"/>
          <w:sz w:val="28"/>
          <w:szCs w:val="28"/>
          <w:shd w:val="clear" w:color="auto" w:fill="FFFFFF"/>
        </w:rPr>
      </w:pPr>
      <w:r>
        <w:rPr>
          <w:rFonts w:hint="eastAsia" w:ascii="仿宋_GB2312" w:eastAsia="仿宋_GB2312"/>
          <w:b/>
          <w:color w:val="333333"/>
          <w:sz w:val="28"/>
          <w:szCs w:val="28"/>
          <w:shd w:val="clear" w:color="auto" w:fill="FFFFFF"/>
        </w:rPr>
        <w:t>五、评价结果运用</w:t>
      </w:r>
      <w:r>
        <w:rPr>
          <w:rFonts w:hint="eastAsia" w:ascii="仿宋_GB2312" w:eastAsia="仿宋_GB2312"/>
          <w:color w:val="333333"/>
          <w:sz w:val="28"/>
          <w:szCs w:val="28"/>
          <w:shd w:val="clear" w:color="auto" w:fill="FFFFFF"/>
        </w:rPr>
        <w:t>。</w:t>
      </w:r>
    </w:p>
    <w:p>
      <w:pPr>
        <w:ind w:firstLine="420" w:firstLineChars="150"/>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在财政绩效评价过程中发现的问题，对预算单位发出整改通知，明确整改要求和整改时限，明确资金用途，对违规资金要处理，对低效无效资金要取消，对财政重点项目的绩效评价结果评定为“较差”或“差”的专项资金，在编制2023年度预算时按一定比列扣减预算安排；对预算单位的预算绩效管理推进情况，工作水平进行考评，将考评结果计入市政府对单位的年度绩效考核指标中。</w:t>
      </w:r>
    </w:p>
    <w:p>
      <w:pPr>
        <w:ind w:firstLine="420" w:firstLineChars="150"/>
        <w:rPr>
          <w:rFonts w:ascii="仿宋_GB2312" w:eastAsia="仿宋_GB2312"/>
          <w:sz w:val="28"/>
          <w:szCs w:val="28"/>
        </w:rPr>
      </w:pPr>
    </w:p>
    <w:p>
      <w:pPr>
        <w:rPr>
          <w:rFonts w:asciiTheme="minorEastAsia" w:hAnsiTheme="minorEastAsia"/>
          <w:sz w:val="28"/>
          <w:szCs w:val="28"/>
        </w:rPr>
      </w:pPr>
    </w:p>
    <w:p>
      <w:pPr>
        <w:rPr>
          <w:rFonts w:cs="Times New Roman" w:asciiTheme="minorEastAsia" w:hAnsiTheme="minorEastAsia"/>
          <w:b/>
          <w:sz w:val="28"/>
          <w:szCs w:val="28"/>
        </w:rPr>
      </w:pPr>
      <w:r>
        <w:rPr>
          <w:rFonts w:hint="eastAsia" w:cs="Times New Roman" w:asciiTheme="minorEastAsia" w:hAnsiTheme="minorEastAsia"/>
          <w:b/>
          <w:sz w:val="28"/>
          <w:szCs w:val="28"/>
        </w:rPr>
        <w:t xml:space="preserve">  </w:t>
      </w:r>
    </w:p>
    <w:p>
      <w:pPr>
        <w:ind w:firstLine="280" w:firstLineChars="100"/>
        <w:rPr>
          <w:rFonts w:cs="Times New Roman" w:asciiTheme="minorEastAsia" w:hAnsiTheme="minorEastAsia"/>
          <w:sz w:val="28"/>
          <w:szCs w:val="28"/>
        </w:rPr>
      </w:pPr>
      <w:r>
        <w:rPr>
          <w:rFonts w:hint="eastAsia" w:cs="Times New Roman" w:asciiTheme="minorEastAsia" w:hAnsiTheme="minorEastAsia"/>
          <w:sz w:val="28"/>
          <w:szCs w:val="28"/>
        </w:rPr>
        <w:t xml:space="preserve">                                    绩效评价股</w:t>
      </w:r>
    </w:p>
    <w:p>
      <w:pPr>
        <w:ind w:firstLine="280" w:firstLineChars="100"/>
        <w:rPr>
          <w:rFonts w:cs="Times New Roman" w:asciiTheme="minorEastAsia" w:hAnsiTheme="minorEastAsia"/>
          <w:sz w:val="28"/>
          <w:szCs w:val="28"/>
        </w:rPr>
      </w:pPr>
      <w:r>
        <w:rPr>
          <w:rFonts w:hint="eastAsia" w:cs="Times New Roman" w:asciiTheme="minorEastAsia" w:hAnsiTheme="minorEastAsia"/>
          <w:sz w:val="28"/>
          <w:szCs w:val="28"/>
        </w:rPr>
        <w:t xml:space="preserve">                                 202</w:t>
      </w:r>
      <w:r>
        <w:rPr>
          <w:rFonts w:hint="eastAsia" w:cs="Times New Roman" w:asciiTheme="minorEastAsia" w:hAnsiTheme="minorEastAsia"/>
          <w:sz w:val="28"/>
          <w:szCs w:val="28"/>
          <w:lang w:val="en-US" w:eastAsia="zh-CN"/>
        </w:rPr>
        <w:t>2</w:t>
      </w:r>
      <w:bookmarkStart w:id="0" w:name="_GoBack"/>
      <w:bookmarkEnd w:id="0"/>
      <w:r>
        <w:rPr>
          <w:rFonts w:hint="eastAsia" w:cs="Times New Roman" w:asciiTheme="minorEastAsia" w:hAnsiTheme="minorEastAsia"/>
          <w:sz w:val="28"/>
          <w:szCs w:val="28"/>
        </w:rPr>
        <w:t>年12月30日</w:t>
      </w:r>
    </w:p>
    <w:p>
      <w:pPr>
        <w:ind w:firstLine="280" w:firstLineChars="100"/>
        <w:rPr>
          <w:rFonts w:cs="Times New Roman"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                                                   </w:t>
      </w:r>
    </w:p>
    <w:p>
      <w:pPr>
        <w:rPr>
          <w:rFonts w:asciiTheme="minorEastAsia" w:hAnsiTheme="minorEastAsia"/>
          <w:sz w:val="28"/>
          <w:szCs w:val="28"/>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OWY5MTFlYzc3MjU1YWExNzk4ZTdlOGNlOGViNzkifQ=="/>
  </w:docVars>
  <w:rsids>
    <w:rsidRoot w:val="00734A17"/>
    <w:rsid w:val="00005780"/>
    <w:rsid w:val="00036B3C"/>
    <w:rsid w:val="00075AED"/>
    <w:rsid w:val="00075DEF"/>
    <w:rsid w:val="000B371D"/>
    <w:rsid w:val="000E3E2A"/>
    <w:rsid w:val="000F4748"/>
    <w:rsid w:val="0010141D"/>
    <w:rsid w:val="0011427E"/>
    <w:rsid w:val="00122A66"/>
    <w:rsid w:val="0013065A"/>
    <w:rsid w:val="00136CD4"/>
    <w:rsid w:val="0016085D"/>
    <w:rsid w:val="001A2B8C"/>
    <w:rsid w:val="001B48E7"/>
    <w:rsid w:val="001C03FA"/>
    <w:rsid w:val="001C3069"/>
    <w:rsid w:val="001D7429"/>
    <w:rsid w:val="001E6C2B"/>
    <w:rsid w:val="00224E2A"/>
    <w:rsid w:val="0023156E"/>
    <w:rsid w:val="00247995"/>
    <w:rsid w:val="00261E5A"/>
    <w:rsid w:val="002623B1"/>
    <w:rsid w:val="00264F8C"/>
    <w:rsid w:val="00281BC4"/>
    <w:rsid w:val="00283101"/>
    <w:rsid w:val="0028538F"/>
    <w:rsid w:val="00295D6C"/>
    <w:rsid w:val="002B0F85"/>
    <w:rsid w:val="003033E2"/>
    <w:rsid w:val="00304BA1"/>
    <w:rsid w:val="00315091"/>
    <w:rsid w:val="0031703B"/>
    <w:rsid w:val="0032006C"/>
    <w:rsid w:val="003370BA"/>
    <w:rsid w:val="003951A0"/>
    <w:rsid w:val="003A6CBA"/>
    <w:rsid w:val="003B7E5E"/>
    <w:rsid w:val="003C6BA9"/>
    <w:rsid w:val="003C7F66"/>
    <w:rsid w:val="003F23A7"/>
    <w:rsid w:val="004212E6"/>
    <w:rsid w:val="00461898"/>
    <w:rsid w:val="00465801"/>
    <w:rsid w:val="00470551"/>
    <w:rsid w:val="00492B72"/>
    <w:rsid w:val="00494D35"/>
    <w:rsid w:val="00496986"/>
    <w:rsid w:val="004A515A"/>
    <w:rsid w:val="004B5467"/>
    <w:rsid w:val="004C3F29"/>
    <w:rsid w:val="004C4F56"/>
    <w:rsid w:val="004D0F4E"/>
    <w:rsid w:val="00505CE6"/>
    <w:rsid w:val="00512182"/>
    <w:rsid w:val="00547D5D"/>
    <w:rsid w:val="00560C39"/>
    <w:rsid w:val="00561978"/>
    <w:rsid w:val="0057364F"/>
    <w:rsid w:val="00576E87"/>
    <w:rsid w:val="00577BB9"/>
    <w:rsid w:val="005A0704"/>
    <w:rsid w:val="005A7DED"/>
    <w:rsid w:val="005B1211"/>
    <w:rsid w:val="005C2C7D"/>
    <w:rsid w:val="005C3D4E"/>
    <w:rsid w:val="005C5296"/>
    <w:rsid w:val="005F60EE"/>
    <w:rsid w:val="006169A6"/>
    <w:rsid w:val="00620BC8"/>
    <w:rsid w:val="0063554A"/>
    <w:rsid w:val="006B3036"/>
    <w:rsid w:val="006E3F38"/>
    <w:rsid w:val="006E7C65"/>
    <w:rsid w:val="006F4D8D"/>
    <w:rsid w:val="00707524"/>
    <w:rsid w:val="007223A8"/>
    <w:rsid w:val="00726363"/>
    <w:rsid w:val="00734A17"/>
    <w:rsid w:val="00746087"/>
    <w:rsid w:val="00760591"/>
    <w:rsid w:val="007A6C94"/>
    <w:rsid w:val="007C1C18"/>
    <w:rsid w:val="007F039E"/>
    <w:rsid w:val="007F4D08"/>
    <w:rsid w:val="00817EAA"/>
    <w:rsid w:val="00845BF8"/>
    <w:rsid w:val="00855997"/>
    <w:rsid w:val="00871905"/>
    <w:rsid w:val="00873906"/>
    <w:rsid w:val="008846D0"/>
    <w:rsid w:val="00896945"/>
    <w:rsid w:val="0089748C"/>
    <w:rsid w:val="008A087F"/>
    <w:rsid w:val="008A4D4B"/>
    <w:rsid w:val="008B49CE"/>
    <w:rsid w:val="008B7618"/>
    <w:rsid w:val="008E7B62"/>
    <w:rsid w:val="008F3A4A"/>
    <w:rsid w:val="00914A2A"/>
    <w:rsid w:val="0092137F"/>
    <w:rsid w:val="00936E8A"/>
    <w:rsid w:val="00955CBA"/>
    <w:rsid w:val="0096705E"/>
    <w:rsid w:val="00972A88"/>
    <w:rsid w:val="00973A6C"/>
    <w:rsid w:val="0098253E"/>
    <w:rsid w:val="009902FC"/>
    <w:rsid w:val="00995DD6"/>
    <w:rsid w:val="009A3E00"/>
    <w:rsid w:val="009A439F"/>
    <w:rsid w:val="009D06D6"/>
    <w:rsid w:val="009E20D4"/>
    <w:rsid w:val="009E7F6C"/>
    <w:rsid w:val="009F779F"/>
    <w:rsid w:val="00A06D31"/>
    <w:rsid w:val="00A4106A"/>
    <w:rsid w:val="00A42138"/>
    <w:rsid w:val="00A62681"/>
    <w:rsid w:val="00A87D29"/>
    <w:rsid w:val="00AA29BB"/>
    <w:rsid w:val="00AA31F9"/>
    <w:rsid w:val="00AE00CA"/>
    <w:rsid w:val="00AE35D7"/>
    <w:rsid w:val="00AE57C8"/>
    <w:rsid w:val="00AE7254"/>
    <w:rsid w:val="00B2405E"/>
    <w:rsid w:val="00B444F6"/>
    <w:rsid w:val="00B4793F"/>
    <w:rsid w:val="00B47D5D"/>
    <w:rsid w:val="00B758E4"/>
    <w:rsid w:val="00B83DF8"/>
    <w:rsid w:val="00B878C0"/>
    <w:rsid w:val="00B97F19"/>
    <w:rsid w:val="00BA5445"/>
    <w:rsid w:val="00BB2A0C"/>
    <w:rsid w:val="00C16F79"/>
    <w:rsid w:val="00C26489"/>
    <w:rsid w:val="00C42909"/>
    <w:rsid w:val="00C46594"/>
    <w:rsid w:val="00C5127A"/>
    <w:rsid w:val="00C760D0"/>
    <w:rsid w:val="00C81844"/>
    <w:rsid w:val="00CA4E6A"/>
    <w:rsid w:val="00CA4F2D"/>
    <w:rsid w:val="00CB4A87"/>
    <w:rsid w:val="00CD19F9"/>
    <w:rsid w:val="00CD4199"/>
    <w:rsid w:val="00CF1C2B"/>
    <w:rsid w:val="00D3452A"/>
    <w:rsid w:val="00D37C4A"/>
    <w:rsid w:val="00D41B7E"/>
    <w:rsid w:val="00D65AA2"/>
    <w:rsid w:val="00D74EDB"/>
    <w:rsid w:val="00D843D9"/>
    <w:rsid w:val="00D97A81"/>
    <w:rsid w:val="00DA61AE"/>
    <w:rsid w:val="00DC15E3"/>
    <w:rsid w:val="00DC2590"/>
    <w:rsid w:val="00DC36B0"/>
    <w:rsid w:val="00DC778B"/>
    <w:rsid w:val="00DD7AEC"/>
    <w:rsid w:val="00DF6C25"/>
    <w:rsid w:val="00E33E07"/>
    <w:rsid w:val="00E5585B"/>
    <w:rsid w:val="00E759E5"/>
    <w:rsid w:val="00E761E4"/>
    <w:rsid w:val="00E80786"/>
    <w:rsid w:val="00EB1A2E"/>
    <w:rsid w:val="00EB31CD"/>
    <w:rsid w:val="00EB39C1"/>
    <w:rsid w:val="00EB787A"/>
    <w:rsid w:val="00EE2D77"/>
    <w:rsid w:val="00EE715F"/>
    <w:rsid w:val="00F220D6"/>
    <w:rsid w:val="00F4656C"/>
    <w:rsid w:val="00F77ADD"/>
    <w:rsid w:val="00F824C3"/>
    <w:rsid w:val="00F96C31"/>
    <w:rsid w:val="00F9784C"/>
    <w:rsid w:val="00FB183C"/>
    <w:rsid w:val="00FC22ED"/>
    <w:rsid w:val="4F4C36CD"/>
    <w:rsid w:val="5F1C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szCs w:val="18"/>
    </w:rPr>
  </w:style>
  <w:style w:type="paragraph" w:styleId="5">
    <w:name w:val="HTML Preformatted"/>
    <w:basedOn w:val="1"/>
    <w:unhideWhenUsed/>
    <w:qFormat/>
    <w:uiPriority w:val="99"/>
    <w:rPr>
      <w:rFonts w:ascii="Courier New" w:hAnsi="Courier New" w:cs="Courier New"/>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1226</Words>
  <Characters>1323</Characters>
  <Lines>10</Lines>
  <Paragraphs>2</Paragraphs>
  <TotalTime>0</TotalTime>
  <ScaleCrop>false</ScaleCrop>
  <LinksUpToDate>false</LinksUpToDate>
  <CharactersWithSpaces>1449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2021-01-06T02:19:00Z</dcterms:created>
  <dc:creator>微软用户</dc:creator>
  <cp:lastModifiedBy>zmin</cp:lastModifiedBy>
  <dcterms:modified xsi:type="dcterms:W3CDTF">2023-07-27T07:12:52Z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C0D90452D3B14F7D8A2E90CDA1F89DED</vt:lpwstr>
  </property>
</Properties>
</file>