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shd w:val="clear" w:color="auto" w:fill="FFFFFF"/>
        </w:rPr>
        <w:t>沅江市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shd w:val="clear" w:color="auto" w:fill="FFFFFF"/>
          <w:lang w:eastAsia="zh-CN"/>
        </w:rPr>
        <w:t>共华镇人民政府</w:t>
      </w:r>
      <w:r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2021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年度</w:t>
      </w:r>
      <w:r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整体支出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shd w:val="clear" w:color="auto" w:fill="FFFFFF"/>
        </w:rPr>
        <w:t>绩效评价报告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contextualSpacing/>
        <w:jc w:val="left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  <w:shd w:val="clear" w:color="auto" w:fill="FFFFFF"/>
        </w:rPr>
        <w:t>一、单位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基本情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  <w:shd w:val="clear" w:color="auto" w:fill="FFFFFF"/>
        </w:rPr>
        <w:t>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（一）机构设置情况：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共华镇人民政府是国家最基层的政权机关和最基本的独立行政单元，具有执行国家意志的义务和保一方平安的责任，有促进地区经济发展，提供公共服务的职能。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政府下设如下内设机构：党政办公室；党建办公室；经济发展办公室；社会事务办公室；自然资源和生态环境办公室；社会治安和应急管理办公室；财政所。所属事业单位的部门：综合行政执法大队；社会事务综合服务中心；农业综合服务中心；党群和政务服务中心；退役军人服务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二）人员情况：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沅江市共华镇人民政府是财政全额拨款单位，目前编制配置数及实有人员情况。202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年机关行政编制62名，全额拨款事业编制76名。但本单位年末实有人数行政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人（机关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人、财政6人），事业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人（广播2人、计生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人、农业17人、经管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人），退伍10人，分流2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人。事业编制实有人数不含水管、国土的人数。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（三）主要工作职责：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共华镇人民政府是基层国家行政机关。贯彻落实党中央关于乡镇工作的方针政策和决策部署，全面落实省委、益阳市委、沅江市委关于乡镇工作的部署要求，在履行职责过程中坚持和加强党对乡镇工作的集中统一领导。领导本地区经济、政治、文化、社会、生态文明建设等各项工作和基层社会治理；依法行使政府管理和服务职能。主要体现在：加强党的建设；推进区域发展；组织公共服务；实施公共管理；维护公共安全;加强监督执法；领导基层自治；动员社会参与；承办市委、市政府交办的其他任务；职能转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contextualSpacing/>
        <w:jc w:val="left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  <w:shd w:val="clear" w:color="auto" w:fill="FFFFFF"/>
        </w:rPr>
        <w:t>二、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部门整体支出管理及使用情况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（一）基本支出的管理和使用情况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收入总额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6247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万元，支出总额 6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108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万元，期末结转结余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139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全年总收入6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247.12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万元，其中：一般公共预算财政拨款收入3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647.49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万元；政府性基金预算财政拨款收入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159.29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万元；其他收入（特设专户）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1960.13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万元，年初结转结余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480.21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财政总支出6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107.85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万元，其中：一般公共服务支出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2136.85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万元；国防支出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万元；公共安全支出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40.33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万元；教育支出2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科学技术支出0.15万元；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文化体育与传媒支出4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1.47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万元；社会保障和就业支出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519.81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万元；卫生健康支出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88.95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万元；节能环保支出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35.91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万元；城乡社区支出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219.76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万元；农林水支出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2706.1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万元；交通运输支出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万元；自然资源海洋气象等支出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万元；住房保障支出支出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48.97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万元；灾害防治及应急管理支出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39.09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万元；其他支出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157.76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基本支出1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166.37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万元，其中：工资福利支出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1014.23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万元；商品和服务支出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111.88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万元；对个人和家庭的补助支出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40.1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；资本性支出0.16万元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度“三公”经费财政拨款支出预算数为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8.9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万元，支出决算数为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8.9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万元。具体情况如下：公务用车运行维护费预算数为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2.1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万元，决算数为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2.1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万元。公务用车保有量1辆。公务接待费预算数为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6.8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万元，决算数为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6.8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“三公”经费与20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年相比增加了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0.47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公务接待费同上年相比增加了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0.47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万元，主要原因是由于共华镇项目工作（如疫情防控、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禁捕退捕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）检查次数增加，公务接待批次、人次增加。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湖南省沅江市共华镇人民政府按照中央、省委、省政府要求，厉行节约，继续严控“三公”经费。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专项支出的管理和使用情况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专项支出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4941.48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lang w:val="zh-CN" w:eastAsia="zh-CN"/>
        </w:rPr>
        <w:t>主要用于以下方面：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一般公共服务支出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1259.46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25.49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%；公共安全支出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40.33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万元，占0.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%；教育支出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27.5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0.56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%；文化旅游体育与传媒支出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23.3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万元，占0.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%；社会保障和就业支出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519.81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10.52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%；卫生健康支出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6.28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%；节能环保支出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35.91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0.73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%；城乡社区支出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219.76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4.45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%；农林水支出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2566.92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51.95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%；交通运输支出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0.67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自然资源海洋气象等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0.24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%；灾害防治及应急管理支出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39.09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0.79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%；其他支出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158.12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专项资金实行“专人管理、专户储存、专账核算、专项使用”。专项资金实行报账制，资金拨付一律转账结算，杜绝现金支付。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请示。严格专项资金初审、审核、审核制度，不准缺项和越程序办理手续，各类专项资金审批程序，以该专项资金审批表所列内容和文件要求为准。对专项资金要定期或不定期进行督查，确保项目资金专款专用，要全程参与项目验收和采购项目接交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三、部门专项组织实施情况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（一）专项组织情况方面。我镇加强专项项目组织管理，严格落实财务管理制度。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（二）专项管理情况方面。一是严格执行项目预、结算审核制度。二是严格按照既定的项目实施方案，及时完善项目管理制度，认真开展财务决算工作，充分发挥资金的使用效益。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四、存在的问题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（一）资金及财务管理方面的问题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财政收入规模单一，收入结构不合理，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财政收入增长幅度已经下降，并将继续维持下去，今年可能还是负增长，但刚性增长的均势却没有改变，也将继续维持下去，造成收支矛盾十分突出，如何加强财政资金绩效管理，通过内部挖潜促进资源优化配置，把有限的财力用在刀刃上，将每一分钱都用准、用好、做到“少花钱，多办事、办好事”，是财政工作面临的一个重大问题，也是迫在眉睫的任务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社会事业发展所需财政支出压力大，收支矛盾还比较突出，财政管理还不很规范，财经纪律还有待进一步加强。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资金使用效益有待进一步提高，绩效目标设立不够明确、细化和量化，实际工作完成效益不高。上级主管部门指导作用发挥不够，各工作部门之间，缺乏有效沟通与配合，统一组织协调工作有待加强。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（二）项目管理方面的问题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乡镇工作人员项目管理能力有限，专业水平较低，专业技术知识有待提高，管理经验不足。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五、改进措施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形成一个“讲绩效、重绩效、用绩效”的氛围。改变普遍存在的“重投入、轻管理、重支出、轻绩效”的习惯思维。建立“花钱必问效，无效必问责”的良性机制。对于乡镇财政我们要从以下方面加强管理：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1、加强预算管理，确保收支按预算执行，加强专项资金清理整合。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2、充分发挥财政职能，支持地方经济发展。积极推行政务财务公开，不断改进服务方式,加强财政窗口建设。通过向上级争取资金，加大对农村公益事业投资力度，促进公益事业发展。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、全面实施绩效管理。推进绩效管理与预算管理紧密结合，实行预算编制、执行、监督全过程的绩效管理工作机制；强化预算支出主体责任，着力提升绩效目标质量；切实强化结果应用，将绩效目标审核结果作为年度安排预算的重要依据，切实提高财政资金使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、加强财政监督，提高财政资金使用效益。规范单位财务管理和资金使用，规范会计核算，确保专款专用，主要对重点项目建设、社保、扶贫、涉农补贴资金等各类资金追踪管理与监管力度，规范了财政资金使用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、提高自身素质，加强队伍建设。以法律法规、机关管理制度为准则，切实转变干部工作作风，加强政治业务学习，细化政务财务公开，建立健全各项内部管理制度。认真参与上级部门组织的业务培训，进一步规范会计基础工作，提高了财政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0" w:afterAutospacing="0" w:line="560" w:lineRule="exact"/>
        <w:ind w:left="0"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 xml:space="preserve">                  沅江市共华镇人民政府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cs="Times New Roman"/>
          <w:sz w:val="4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 xml:space="preserve">                 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年8月2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 w:eastAsiaTheme="minorEastAsia"/>
        <w:sz w:val="21"/>
        <w:szCs w:val="21"/>
      </w:rPr>
    </w:pPr>
    <w:r>
      <w:rPr>
        <w:rFonts w:hint="default" w:ascii="Times New Roman" w:hAnsi="Times New Roman" w:cs="Times New Roman" w:eastAsiaTheme="minorEastAsia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第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第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BADDC"/>
    <w:multiLevelType w:val="singleLevel"/>
    <w:tmpl w:val="DDEBADD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OGY3MzA3ZTcwMzUxMTQ4YmJiYWYxMmI1ZWQ3N2UifQ=="/>
  </w:docVars>
  <w:rsids>
    <w:rsidRoot w:val="008345D4"/>
    <w:rsid w:val="00140445"/>
    <w:rsid w:val="008345D4"/>
    <w:rsid w:val="00FC2E6D"/>
    <w:rsid w:val="029E482E"/>
    <w:rsid w:val="0C175428"/>
    <w:rsid w:val="23F57D02"/>
    <w:rsid w:val="24747E90"/>
    <w:rsid w:val="25C16B75"/>
    <w:rsid w:val="30143A93"/>
    <w:rsid w:val="30765476"/>
    <w:rsid w:val="44F70682"/>
    <w:rsid w:val="461D0B00"/>
    <w:rsid w:val="47972EF7"/>
    <w:rsid w:val="4A311A5C"/>
    <w:rsid w:val="58CA6DCF"/>
    <w:rsid w:val="614C696E"/>
    <w:rsid w:val="6641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hint="default"/>
      <w:sz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2776</Words>
  <Characters>3072</Characters>
  <Lines>4</Lines>
  <Paragraphs>1</Paragraphs>
  <TotalTime>77</TotalTime>
  <ScaleCrop>false</ScaleCrop>
  <LinksUpToDate>false</LinksUpToDate>
  <CharactersWithSpaces>3109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2021-08-21T03:53:00Z</dcterms:created>
  <dc:creator>Administrator</dc:creator>
  <cp:lastModifiedBy>WPS_1616335675</cp:lastModifiedBy>
  <cp:lastPrinted>2022-08-29T01:39:25Z</cp:lastPrinted>
  <dcterms:modified xsi:type="dcterms:W3CDTF">2022-08-29T01:41:57Z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2B6FBCA7A92C401289094306F94C988D</vt:lpwstr>
  </property>
</Properties>
</file>