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="640" w:lineRule="exact"/>
        <w:rPr>
          <w:rStyle w:val="NormalCharacter"/>
          <w:szCs w:val="44"/>
          <w:kern w:val="0"/>
          <w:lang w:val="en-US" w:eastAsia="zh-CN" w:bidi="ar-SA"/>
          <w:b w:val="0"/>
          <w:i w:val="0"/>
          <w:color w:val="000000"/>
          <w:sz w:val="44"/>
          <w:spacing w:val="0"/>
          <w:w w:val="100"/>
          <w:rFonts w:ascii="方正小标宋简体" w:eastAsia="方正小标宋简体" w:hAnsi="方正小标宋简体"/>
          <w:caps w:val="0"/>
        </w:rPr>
        <w:snapToGrid w:val="0"/>
        <w:ind w:left="0" w:right="0" w:firstLineChars="0" w:leftChars="0"/>
        <w:textAlignment w:val="baseline"/>
        <w:shd w:fill="FFFFFF" w:color="auto" w:val="clear"/>
      </w:pPr>
      <w:r>
        <w:rPr>
          <w:rStyle w:val="NormalCharacter"/>
          <w:szCs w:val="44"/>
          <w:kern w:val="0"/>
          <w:lang w:val="en-US" w:eastAsia="zh-CN" w:bidi="ar-SA"/>
          <w:b w:val="0"/>
          <w:i w:val="0"/>
          <w:color w:val="000000"/>
          <w:sz w:val="44"/>
          <w:spacing w:val="0"/>
          <w:w w:val="100"/>
          <w:rFonts w:ascii="方正小标宋简体" w:eastAsia="方正小标宋简体" w:hAnsi="方正小标宋简体"/>
          <w:caps w:val="0"/>
        </w:rPr>
        <w:t xml:space="preserve">沅江市草尾镇人民政府20</w:t>
      </w:r>
      <w:r>
        <w:rPr>
          <w:rStyle w:val="NormalCharacter"/>
          <w:szCs w:val="44"/>
          <w:kern w:val="0"/>
          <w:lang w:val="en-US" w:eastAsia="zh-CN" w:bidi="ar-SA"/>
          <w:b w:val="0"/>
          <w:i w:val="0"/>
          <w:color w:val="000000"/>
          <w:sz w:val="44"/>
          <w:spacing w:val="0"/>
          <w:w w:val="100"/>
          <w:rFonts w:ascii="方正小标宋简体" w:eastAsia="方正小标宋简体" w:hAnsi="方正小标宋简体"/>
          <w:caps w:val="0"/>
        </w:rPr>
        <w:t xml:space="preserve">21</w:t>
      </w:r>
      <w:r>
        <w:rPr>
          <w:rStyle w:val="NormalCharacter"/>
          <w:szCs w:val="44"/>
          <w:kern w:val="0"/>
          <w:lang w:val="en-US" w:eastAsia="zh-CN" w:bidi="ar-SA"/>
          <w:b w:val="0"/>
          <w:i w:val="0"/>
          <w:color w:val="000000"/>
          <w:sz w:val="44"/>
          <w:spacing w:val="0"/>
          <w:w w:val="100"/>
          <w:rFonts w:ascii="方正小标宋简体" w:eastAsia="方正小标宋简体" w:hAnsi="方正小标宋简体"/>
          <w:caps w:val="0"/>
        </w:rPr>
        <w:t xml:space="preserve">年度专项支出绩效评价报告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/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根据《湖南省人民政府关于全面推进预算绩效管理的意见》，我中心对2021年度专项资金绩效评价如下：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t xml:space="preserve">一、项目基本情况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楷体_GB2312" w:eastAsia="楷体_GB2312" w:hAnsi="楷体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楷体_GB2312" w:eastAsia="楷体_GB2312" w:hAnsi="楷体_GB2312"/>
          <w:caps w:val="0"/>
        </w:rPr>
        <w:t xml:space="preserve">（一）项目概况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snapToGrid w:val="0"/>
        <w:ind w:firstLine="643" w:firstLineChars="200"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t xml:space="preserve">1、机构设置情况：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草尾镇人民政府内设党政办、党建办、经济发展办、社会事务办、自然资源和生态环境办、社会治安和应急管理办、财政财务管理办、综合行政执法大队、镇纪委、社会事务综合服务中心、农业综合服务中心、党群和政务服务中心、退役军人事务站。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snapToGrid w:val="0"/>
        <w:ind w:firstLine="643" w:firstLineChars="200"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t xml:space="preserve">2、人员情况：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沅江市草尾镇人民政府是财政全额拨款单位，目前实有在职人员107人。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snapToGrid w:val="0"/>
        <w:ind w:firstLine="643" w:firstLineChars="200"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t xml:space="preserve">3、主要工作职责：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草尾镇人民政府是国家最基层的政权机关和最基本的独立行政单元，具有执行国家意志的义务和保一方平安的责任，有促进地区经济发展，提供公共服务的职能。制定并组织实施村镇建设规划、部署重点村镇工程，制定资源开发改造和产业机构调整法案，组织并指导生产，负责本行政区域内民政、计划生育、经管、文化教育等工作，按照组织本级财政收入，完成国家财政计划，管理好财政资金，增强财政实力，抓好精神文明建设，丰富群众文化生活，提倡移风易俗，完成上级政府交代的其他事项。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楷体_GB2312" w:eastAsia="楷体_GB2312" w:hAnsi="楷体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楷体_GB2312" w:eastAsia="楷体_GB2312" w:hAnsi="楷体_GB2312"/>
          <w:caps w:val="0"/>
        </w:rPr>
        <w:t xml:space="preserve">（二）项目绩效目标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snapToGrid w:val="0"/>
        <w:ind w:firstLine="643" w:firstLineChars="200"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t xml:space="preserve">1、项目绩效总目标</w:t>
      </w:r>
    </w:p>
    <w:p>
      <w:pPr>
        <w:pStyle w:val="HtmlNormal"/>
        <w:widowControl/>
        <w:jc w:val="left"/>
        <w:spacing w:before="0" w:beforeAutospacing="1" w:after="0" w:afterAutospacing="1" w:line="480" w:lineRule="atLeas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snapToGrid/>
        <w:ind w:left="0" w:right="0" w:firstLine="640" w:firstLineChars="20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“禁捕退捕”项目是是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加强长江流域水生生物资源保护，保障长江流域禁捕工作顺利实施，推进水域生态保护修复，依法惩治长江流域非法捕捞等危害水生生物资源的各类违法犯罪，促进生态文明建设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。</w:t>
      </w:r>
    </w:p>
    <w:p>
      <w:pPr>
        <w:pStyle w:val="Normal"/>
        <w:widowControl/>
        <w:jc w:val="both"/>
        <w:spacing w:before="0" w:beforeAutospacing="0" w:after="0" w:afterAutospacing="0" w:line="360" w:lineRule="atLeast"/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2、资金管理情况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我镇政府财务制度健全，管理规范,账务处理及时，会计核算规范。专项资金严格按照国家规定的项目资金相关法律、法规的规定和要求使用，确保资金的专款专用。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t xml:space="preserve">二、绩效评价指标分析情况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楷体_GB2312" w:eastAsia="楷体_GB2312" w:hAnsi="楷体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楷体_GB2312" w:eastAsia="楷体_GB2312" w:hAnsi="楷体_GB2312"/>
          <w:caps w:val="0"/>
        </w:rPr>
        <w:t xml:space="preserve">（一）项目资金情况分析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snapToGrid w:val="0"/>
        <w:ind w:firstLine="643" w:firstLineChars="200"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t xml:space="preserve">1、项目资金到位情况分析</w:t>
      </w:r>
    </w:p>
    <w:p>
      <w:pPr>
        <w:pStyle w:val="HtmlNormal"/>
        <w:widowControl/>
        <w:jc w:val="left"/>
        <w:spacing w:before="0" w:beforeAutospacing="1" w:after="0" w:afterAutospacing="1" w:line="480" w:lineRule="atLeast"/>
        <w:rPr>
          <w:rStyle w:val="NormalCharacter"/>
          <w:szCs w:val="32"/>
          <w:kern w:val="0"/>
          <w:lang w:val="en-US" w:eastAsia="zh-CN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left="0" w:right="0" w:firstLine="640" w:firstLineChars="20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2021年，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上级主管部门拨付镇村“禁捕退捕”建设资金共约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101.77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万元。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snapToGrid w:val="0"/>
        <w:ind w:firstLine="643" w:firstLineChars="200"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t xml:space="preserve">2、项目资金管理情况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在项目资金管理情况方面，我镇政府统一归口管理，坚持专款专用，量入为出的原则，使专用资金按规定的用途使用并达到预期目的，严禁截留、挪用和不合理支出。制订完善财务审批制度、专项资金使用制度等各项管理制度，项目资金使用情况接受财政、审计部门的监督检查，在项目实施过程中和项目完成后，定期或不定期对项目资金的使用进行监督检查，厉行节俭，强化监管，确保专项资金管理规范，促进项目顺利实施。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楷体_GB2312" w:eastAsia="楷体_GB2312" w:hAnsi="楷体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楷体_GB2312" w:eastAsia="楷体_GB2312" w:hAnsi="楷体_GB2312"/>
          <w:caps w:val="0"/>
        </w:rPr>
        <w:t xml:space="preserve">（二）项目效益情况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360" w:lineRule="atLeast"/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snapToGrid/>
        <w:ind w:left="722" w:firstLine="0"/>
        <w:textAlignment w:val="baseline"/>
      </w:pPr>
      <w:r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经济效益</w:t>
      </w:r>
    </w:p>
    <w:p>
      <w:pPr>
        <w:pStyle w:val="HtmlNormal"/>
        <w:widowControl/>
        <w:jc w:val="left"/>
        <w:spacing w:before="0" w:beforeAutospacing="1" w:after="0" w:afterAutospacing="1" w:line="480" w:lineRule="atLeas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snapToGrid/>
        <w:ind w:left="722" w:right="0" w:firstLine="320" w:firstLineChars="10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渔业资源修复和水域生态环境保护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被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不断推进，渔业产业经济效益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逐将显现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、生态效益和社会效益的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也将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有机统一。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360" w:lineRule="atLeast"/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snapToGrid/>
        <w:ind w:left="722" w:firstLine="0"/>
        <w:textAlignment w:val="baseline"/>
      </w:pPr>
      <w:r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社会效益</w:t>
      </w:r>
    </w:p>
    <w:p>
      <w:pPr>
        <w:pStyle w:val="HtmlNormal"/>
        <w:widowControl/>
        <w:jc w:val="left"/>
        <w:spacing w:before="0" w:beforeAutospacing="1" w:after="0" w:afterAutospacing="1" w:line="480" w:lineRule="atLeas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snapToGrid/>
        <w:ind w:left="0" w:right="0" w:firstLine="640" w:firstLineChars="20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项目实施后，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更好地保护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了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渔业资源和水域生态环境。充分发挥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了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天然湖泊、河流和大型水库的生态涵养与渔业种质资源保护功能，增殖放流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被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大力开展，休渔期制度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被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严格执行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。</w:t>
      </w:r>
    </w:p>
    <w:p>
      <w:pPr>
        <w:pStyle w:val="HtmlNormal"/>
        <w:widowControl/>
        <w:jc w:val="left"/>
        <w:spacing w:before="0" w:beforeAutospacing="1" w:after="0" w:afterAutospacing="1" w:line="480" w:lineRule="atLeas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snapToGrid/>
        <w:ind w:left="0" w:right="0" w:firstLine="640" w:firstLineChars="20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 3、服务对象满意度方面</w:t>
      </w:r>
    </w:p>
    <w:p>
      <w:pPr>
        <w:pStyle w:val="Normal"/>
        <w:widowControl/>
        <w:jc w:val="both"/>
        <w:spacing w:before="0" w:beforeAutospacing="0" w:after="0" w:afterAutospacing="0" w:line="360" w:lineRule="atLeas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ind w:firstLine="640" w:firstLineChars="200"/>
        <w:textAlignment w:val="baseline"/>
      </w:pPr>
      <w:r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项目实施将进一步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保护渔业资源和水域生态环境。</w:t>
      </w:r>
      <w:r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仿宋_GB2312" w:eastAsia="仿宋_GB2312" w:hAnsi="新宋体"/>
          <w:caps w:val="0"/>
        </w:rPr>
        <w:t xml:space="preserve">人民群众满意度会更高。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 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t xml:space="preserve">三、经验和建议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3" w:firstLineChars="200"/>
        <w:textAlignment w:val="baseline"/>
      </w:pPr>
      <w:r>
        <w:rPr>
          <w:rStyle w:val="NormalCharacter"/>
          <w:szCs w:val="32"/>
          <w:bCs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t xml:space="preserve">专人负责，责任到人。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针对维修项目多、管理人员少的情况，采取项目负责人制，所有维修由项目负责人全过程负责，全程掌握工程进展情况，统筹协调项目实施过程中出现的各种问题，避免出现多头管理或管理缺位的现象。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3" w:firstLineChars="200"/>
        <w:textAlignment w:val="baseline"/>
      </w:pPr>
      <w:r>
        <w:rPr>
          <w:rStyle w:val="NormalCharacter"/>
          <w:szCs w:val="32"/>
          <w:bCs/>
          <w:iCs w:val="off"/>
          <w:kern w:val="2"/>
          <w:lang w:val="en-US" w:eastAsia="zh-CN" w:bidi="ar-SA"/>
          <w:b w:val="1"/>
          <w:i w:val="0"/>
          <w:sz w:val="32"/>
          <w:spacing w:val="0"/>
          <w:w w:val="100"/>
          <w:rFonts w:ascii="仿宋_GB2312" w:cs="仿宋_GB2312" w:eastAsia="仿宋_GB2312" w:hAnsi="仿宋_GB2312"/>
          <w:caps w:val="0"/>
        </w:rPr>
        <w:t xml:space="preserve">监督全程，质量第一。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为保证维修项目的工程质量，对工程实行全程综合管理。工程建设时，工程中每一道工序完成，由施工方报验，监理方检查，符合设计要求，签字确认后方可进行下一道工序的施工；工程竣工时，严格按照国家标准进行验收。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0" w:firstLineChars="20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我镇政府注重实效，注重节约，注重环节，对所有呈报的维修项目都必须经镇班子成员决定一致通过，成立具体的工作小组，有规划设计、有监督管理的项目实施规程。</w:t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/>
      </w:r>
    </w:p>
    <w:p>
      <w:pPr>
        <w:pStyle w:val="Normal"/>
        <w:jc w:val="lef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ind w:firstLine="640" w:firstLineChars="200"/>
        <w:textAlignment w:val="baseline"/>
      </w:pPr>
      <w:r>
        <w:rPr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/>
      </w:r>
    </w:p>
    <w:p>
      <w:pPr>
        <w:pStyle w:val="Normal"/>
        <w:jc w:val="righ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沅江市草尾镇人民政府      </w:t>
      </w:r>
    </w:p>
    <w:p>
      <w:pPr>
        <w:pStyle w:val="Normal"/>
        <w:jc w:val="right"/>
        <w:spacing w:before="0" w:beforeAutospacing="0" w:after="0" w:afterAutospacing="0" w:line="58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 w:val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t xml:space="preserve">2022年9月5日        </w:t>
      </w:r>
    </w:p>
    <w:sectPr>
      <w:footerReference w:type="default" r:id="rId3"/>
      <w:type w:val="nextPage"/>
      <w:pgSz w:h="16838" w:w="11906" w:orient="portrait"/>
      <w:pgMar w:gutter="0" w:header="851" w:top="2041" w:bottom="1984" w:footer="992" w:left="1587" w:right="1474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e0002aff" w:usb1="c0007841" w:usb2="00000009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monospace">
    <w:altName w:val="Courier New"/>
    <w:charset w:val="00"/>
    <w:family w:val="auto"/>
    <w:panose1 w:val="00000000000000000000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anose1 w:val="02010609030101010101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anose1 w:val="02010601030101010101"/>
    <w:pitch w:val="default"/>
    <w:sig w:usb0="00000001" w:usb1="080e0000" w:usb2="00000000" w:usb3="00000000" w:csb0="0004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楷体_GB2312">
    <w:altName w:val="楷体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新宋体">
    <w:altName w:val="新宋体"/>
    <w:charset w:val="86"/>
    <w:family w:val="modern"/>
    <w:panose1 w:val="02010609030101010101"/>
    <w:pitch w:val="default"/>
    <w:sig w:usb0="00000003" w:usb1="288f0000" w:usb2="00000006" w:usb3="00000000" w:csb0="00040001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21"/>
        <w:sz w:val="18"/>
        <w:kern w:val="2"/>
        <w:lang w:val="en-US" w:eastAsia="zh-CN" w:bidi="ar-SA"/>
        <w:rFonts w:ascii="Times New Roman" w:eastAsia="宋体" w:hAnsi="Times New Roman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  <w:r>
      <w:rPr>
        <w:rStyle w:val="NormalCharacter"/>
        <w:szCs w:val="21"/>
        <w:sz w:val="18"/>
        <w:kern w:val="2"/>
        <w:lang w:val="en-US" w:eastAsia="zh-CN" w:bidi="ar-SA"/>
        <w:rFonts w:ascii="Times New Roman" w:eastAsia="宋体" w:hAnsi="Times New Roman"/>
      </w:rPr>
      <w:pict>
        <v:shape id="_x0000_s2049" type="#_x0000_t202" style="position:absolute;width:144.0pt;height:144.0pt;v-text-anchor:top;mso-position-horizontal:outside;z-index:524288;mso-position-horizontal-relative:margin;" filled="f" stroked="f" coordsize="21600,21600">
          <v:stroke linestyle="single"/>
          <v:textbox inset="0.0pt,0.0pt,0.0pt,0.0pt">
            <w:txbxContent>
              <w:p>
                <w:pPr>
                  <w:pStyle w:val="Footer"/>
                  <w:rPr>
                    <w:rStyle w:val="NormalCharacter"/>
                    <w:szCs w:val="21"/>
                    <w:sz w:val="18"/>
                    <w:kern w:val="2"/>
                    <w:lang w:val="en-US" w:eastAsia="zh-CN" w:bidi="ar-SA"/>
                    <w:rFonts w:ascii="Times New Roman" w:eastAsia="宋体" w:hAnsi="Times New Roman"/>
                  </w:rPr>
                  <w:widowControl/>
                  <w:tabs>
                    <w:tab w:leader="none" w:val="center" w:pos="4153"/>
                    <w:tab w:leader="none" w:val="right" w:pos="8306"/>
                  </w:tabs>
                  <w:snapToGrid w:val="0"/>
                  <w:jc w:val="left"/>
                  <w:textAlignment w:val="baseline"/>
                </w:pPr>
                <w:r>
                  <w:rPr>
                    <w:rStyle w:val="NormalCharacter"/>
                    <w:szCs w:val="30"/>
                    <w:sz w:val="30"/>
                    <w:kern w:val="2"/>
                    <w:lang w:val="en-US" w:eastAsia="zh-CN" w:bidi="ar-SA"/>
                    <w:rFonts w:ascii="仿宋_GB2312" w:eastAsia="仿宋_GB2312" w:hAnsi="仿宋_GB2312"/>
                  </w:rPr>
                </w:r>
              </w:p>
              <w:p>
                <w:pPr>
                  <w:pStyle w:val="Emphasis"/>
                  <w:rPr>
                    <w:rStyle w:val="NormalCharacter"/>
                    <w:i w:val="off"/>
                  </w:rPr>
                  <w:widowControl/>
                  <w:textAlignment w:val="baseline"/>
                </w:pPr>
              </w:p>
            </w:txbxContent>
          </v:textbox>
        </v:shape>
      </w:pict>
    </w:r>
  </w:p>
</w:ft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94f28558"/>
    <w:multiLevelType w:val="singleLevel"/>
    <w:tmpl w:val="94f28558"/>
    <w:lvl w:ilvl="0">
      <w:start w:val="1"/>
      <w:numFmt w:val="decimal"/>
      <w:suff w:val="nothing"/>
      <w:lvlText w:val="%1、"/>
      <w:lvlJc w:val="left"/>
      <w:pPr>
        <w:pStyle w:val="Normal"/>
        <w:widowControl/>
        <w:ind w:firstLine="0" w:left="722"/>
        <w:textAlignment w:val="baseline"/>
      </w:pPr>
      <w:rPr>
        <w:rStyle w:val="NormalCharacte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30"/>
  <w:embedSystemFonts/>
  <w:stylePaneFormatFilter w:val="5024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1"/>
        <w:sz w:val="21"/>
        <w:kern w:val="2"/>
        <w:lang w:val="en-US" w:eastAsia="zh-CN" w:bidi="ar-SA"/>
        <w:rFonts w:ascii="Times New Roman" w:eastAsia="宋体" w:hAnsi="Times New Roman"/>
      </w:rPr>
      <w:jc w:val="both"/>
      <w:textAlignment w:val="baseline"/>
    </w:pPr>
    <w:rPr>
      <w:szCs w:val="21"/>
      <w:sz w:val="21"/>
      <w:kern w:val="2"/>
      <w:lang w:val="en-US" w:eastAsia="zh-CN" w:bidi="ar-SA"/>
      <w:rFonts w:ascii="Times New Roman" w:eastAsia="宋体" w:hAnsi="Times New Roman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paragraph" w:styleId="Footer">
    <w:name w:val="Footer"/>
    <w:basedOn w:val="Normal"/>
    <w:next w:val="Footer"/>
    <w:link w:val="Normal"/>
    <w:pPr>
      <w:rPr>
        <w:szCs w:val="21"/>
        <w:sz w:val="18"/>
        <w:kern w:val="2"/>
        <w:lang w:val="en-US" w:eastAsia="zh-CN" w:bidi="ar-SA"/>
        <w:rFonts w:ascii="Times New Roman" w:eastAsia="宋体" w:hAnsi="Times New Roman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21"/>
      <w:sz w:val="18"/>
      <w:kern w:val="2"/>
      <w:lang w:val="en-US" w:eastAsia="zh-CN" w:bidi="ar-SA"/>
      <w:rFonts w:ascii="Times New Roman" w:eastAsia="宋体" w:hAnsi="Times New Roman"/>
    </w:rPr>
  </w:style>
  <w:style w:type="paragraph" w:styleId="Header">
    <w:name w:val="Header"/>
    <w:basedOn w:val="Normal"/>
    <w:next w:val="Header"/>
    <w:link w:val="Normal"/>
    <w:pPr>
      <w:rPr>
        <w:szCs w:val="21"/>
        <w:sz w:val="18"/>
        <w:kern w:val="2"/>
        <w:lang w:val="en-US" w:eastAsia="zh-CN" w:bidi="ar-SA"/>
        <w:rFonts w:ascii="Times New Roman" w:eastAsia="宋体" w:hAnsi="Times New Roman"/>
      </w:rPr>
      <w:tabs>
        <w:tab w:leader="none" w:val="center" w:pos="4153"/>
        <w:tab w:leader="none" w:val="right" w:pos="8306"/>
      </w:tabs>
      <w:snapToGrid w:val="0"/>
      <w:framePr w:outlineLvl="9"/>
      <w:spacing w:line="240" w:lineRule="auto"/>
      <w:jc w:val="both"/>
      <w:textAlignment w:val="baseline"/>
      <w:pBdr>
        <w:top w:space="1" w:color="000000" w:val="none" w:sz="0"/>
        <w:left w:space="4" w:color="000000" w:val="none" w:sz="0"/>
        <w:bottom w:space="1" w:color="000000" w:val="none" w:sz="0"/>
        <w:right w:space="4" w:color="000000" w:val="none" w:sz="0"/>
      </w:pBdr>
    </w:pPr>
    <w:rPr>
      <w:szCs w:val="21"/>
      <w:sz w:val="18"/>
      <w:kern w:val="2"/>
      <w:lang w:val="en-US" w:eastAsia="zh-CN" w:bidi="ar-SA"/>
      <w:rFonts w:ascii="Times New Roman" w:eastAsia="宋体" w:hAnsi="Times New Roman"/>
    </w:rPr>
  </w:style>
  <w:style w:type="paragraph" w:styleId="HtmlNormal">
    <w:name w:val="HtmlNormal"/>
    <w:basedOn w:val="Normal"/>
    <w:next w:val="HtmlNormal"/>
    <w:link w:val="Normal"/>
    <w:pPr>
      <w:rPr>
        <w:szCs w:val="21"/>
        <w:sz w:val="24"/>
        <w:kern w:val="0"/>
        <w:lang w:val="en-US" w:eastAsia="zh-CN"/>
        <w:rFonts w:ascii="Times New Roman" w:eastAsia="宋体" w:hAnsi="Times New Roman"/>
      </w:rPr>
      <w:ind w:left="0" w:right="0"/>
      <w:spacing w:beforeAutospacing="true" w:afterAutospacing="true" w:after="100" w:before="100"/>
      <w:jc w:val="left"/>
      <w:textAlignment w:val="baseline"/>
    </w:pPr>
    <w:rPr>
      <w:szCs w:val="21"/>
      <w:sz w:val="24"/>
      <w:kern w:val="0"/>
      <w:lang w:val="en-US" w:eastAsia="zh-CN"/>
      <w:rFonts w:ascii="Times New Roman" w:eastAsia="宋体" w:hAnsi="Times New Roman"/>
    </w:rPr>
  </w:style>
  <w:style w:type="character" w:styleId="FollowedHyperlink">
    <w:name w:val="FollowedHyperlink"/>
    <w:basedOn w:val="NormalCharacter"/>
    <w:next w:val="FollowedHyperlink"/>
    <w:link w:val="Normal"/>
    <w:rPr>
      <w:color w:val="666666"/>
    </w:rPr>
  </w:style>
  <w:style w:type="character" w:styleId="Emphasis">
    <w:name w:val="Emphasis"/>
    <w:basedOn w:val="NormalCharacter"/>
    <w:next w:val="Emphasis"/>
    <w:link w:val="Normal"/>
    <w:rPr>
      <w:i w:val="off"/>
    </w:rPr>
  </w:style>
  <w:style w:type="character" w:styleId="HtmlDfn">
    <w:name w:val="HtmlDfn"/>
    <w:basedOn w:val="NormalCharacter"/>
    <w:next w:val="HtmlDfn"/>
    <w:link w:val="Normal"/>
    <w:rPr>
      <w:b w:val="off"/>
      <w:i w:val="off"/>
    </w:rPr>
  </w:style>
  <w:style w:type="character" w:styleId="HtmlTt">
    <w:name w:val="HtmlTt"/>
    <w:basedOn w:val="NormalCharacter"/>
    <w:next w:val="HtmlTt"/>
    <w:link w:val="Normal"/>
    <w:rPr>
      <w:sz w:val="20"/>
      <w:rFonts w:ascii="monospace" w:eastAsia="monospace" w:hAnsi="monospace"/>
    </w:rPr>
  </w:style>
  <w:style w:type="character" w:styleId="HtmlAcronym">
    <w:name w:val="HtmlAcronym"/>
    <w:basedOn w:val="NormalCharacter"/>
    <w:next w:val="HtmlAcronym"/>
    <w:link w:val="Normal"/>
    <w:rPr>
      <w:shd w:color="auto" w:val="clear" w:fill="E0ECF9"/>
    </w:rPr>
  </w:style>
  <w:style w:type="character" w:styleId="HtmlVar">
    <w:name w:val="HtmlVar"/>
    <w:basedOn w:val="NormalCharacter"/>
    <w:next w:val="HtmlVar"/>
    <w:link w:val="Normal"/>
    <w:rPr>
      <w:b w:val="off"/>
      <w:i w:val="off"/>
    </w:rPr>
  </w:style>
  <w:style w:type="character" w:styleId="Hyperlink">
    <w:name w:val="Hyperlink"/>
    <w:basedOn w:val="NormalCharacter"/>
    <w:next w:val="Hyperlink"/>
    <w:link w:val="Normal"/>
    <w:rPr>
      <w:color w:val="666666"/>
    </w:rPr>
  </w:style>
  <w:style w:type="character" w:styleId="HtmlCode">
    <w:name w:val="HtmlCode"/>
    <w:basedOn w:val="NormalCharacter"/>
    <w:next w:val="HtmlCode"/>
    <w:link w:val="Normal"/>
    <w:rPr>
      <w:b w:val="off"/>
      <w:i w:val="off"/>
      <w:sz w:val="20"/>
      <w:rFonts w:ascii="monospace" w:eastAsia="monospace" w:hAnsi="monospace"/>
    </w:rPr>
  </w:style>
  <w:style w:type="character" w:styleId="HtmlCite">
    <w:name w:val="HtmlCite"/>
    <w:basedOn w:val="NormalCharacter"/>
    <w:next w:val="HtmlCite"/>
    <w:link w:val="Normal"/>
    <w:rPr>
      <w:b w:val="off"/>
      <w:i w:val="off"/>
    </w:rPr>
  </w:style>
  <w:style w:type="character" w:styleId="HtmlKbd">
    <w:name w:val="HtmlKbd"/>
    <w:basedOn w:val="NormalCharacter"/>
    <w:next w:val="HtmlKbd"/>
    <w:link w:val="Normal"/>
    <w:rPr>
      <w:sz w:val="20"/>
      <w:rFonts w:ascii="monospace" w:eastAsia="monospace" w:hAnsi="monospace"/>
    </w:rPr>
  </w:style>
  <w:style w:type="character" w:styleId="htmlSamp">
    <w:name w:val="htmlSamp"/>
    <w:basedOn w:val="NormalCharacter"/>
    <w:next w:val="htmlSamp"/>
    <w:link w:val="Normal"/>
    <w:rPr>
      <w:rFonts w:ascii="monospace" w:eastAsia="monospace" w:hAnsi="monospace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oter" Target="footer1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autoSpaceDE/>
        <w:autoSpaceDN/>
        <w:bidi w:val="off"/>
        <w:wordWrap/>
        <w:shd w:color="auto" w:val="clear" w:fill="FFFFFF"/>
        <w:snapToGrid w:val="0"/>
        <w:ind w:leftChars="0" w:rightChars="0" w:left="0" w:firstLineChars="0" w:right="0"/>
        <w:spacing w:line="640" w:lineRule="exact"/>
        <w:jc w:val="center"/>
        <w:textAlignment w:val="auto"/>
      </w:pPr>
      <w:r>
        <w:rPr>
          <w:rStyle w:val="NormalCharacter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沅江市草尾镇人民政府20</w:t>
      </w:r>
      <w:r>
        <w:rPr>
          <w:rStyle w:val="NormalCharacter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年度专项支出绩效评价报告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根据《湖南省人民政府关于全面推进预算绩效管理的意见》，我中心对2021年度专项资金绩效评价如下：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一、项目基本情况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楷体_GB2312" w:eastAsia="楷体_GB2312" w:hAnsi="楷体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楷体_GB2312" w:eastAsia="楷体_GB2312" w:hAnsi="楷体_GB2312"/>
        </w:rPr>
        <w:t xml:space="preserve">（一）项目概况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wordWrap/>
        <w:snapToGrid w:val="0"/>
        <w:ind w:firstLine="643" w:firstLineChars="200"/>
        <w:spacing w:line="580" w:lineRule="exact"/>
        <w:jc w:val="left"/>
        <w:textAlignment w:val="auto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1、机构设置情况：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草尾镇人民政府内设党政办、党建办、经济发展办、社会事务办、自然资源和生态环境办、社会治安和应急管理办、财政财务管理办、综合行政执法大队、镇纪委、社会事务综合服务中心、农业综合服务中心、党群和政务服务中心、退役军人事务站。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wordWrap/>
        <w:snapToGrid w:val="0"/>
        <w:ind w:firstLine="643" w:firstLineChars="200"/>
        <w:spacing w:line="580" w:lineRule="exact"/>
        <w:jc w:val="left"/>
        <w:textAlignment w:val="auto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2、人员情况：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沅江市草尾镇人民政府是财政全额拨款单位，目前实有在职人员107人。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wordWrap/>
        <w:snapToGrid w:val="0"/>
        <w:ind w:firstLine="643" w:firstLineChars="200"/>
        <w:spacing w:line="580" w:lineRule="exact"/>
        <w:jc w:val="left"/>
        <w:textAlignment w:val="auto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3、主要工作职责：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草尾镇人民政府是国家最基层的政权机关和最基本的独立行政单元，具有执行国家意志的义务和保一方平安的责任，有促进地区经济发展，提供公共服务的职能。制定并组织实施村镇建设规划、部署重点村镇工程，制定资源开发改造和产业机构调整法案，组织并指导生产，负责本行政区域内民政、计划生育、经管、文化教育等工作，按照组织本级财政收入，完成国家财政计划，管理好财政资金，增强财政实力，抓好精神文明建设，丰富群众文化生活，提倡移风易俗，完成上级政府交代的其他事项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楷体_GB2312" w:eastAsia="楷体_GB2312" w:hAnsi="楷体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楷体_GB2312" w:eastAsia="楷体_GB2312" w:hAnsi="楷体_GB2312"/>
        </w:rPr>
        <w:t xml:space="preserve">（二）项目绩效目标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wordWrap/>
        <w:snapToGrid w:val="0"/>
        <w:ind w:firstLine="643" w:firstLineChars="200"/>
        <w:spacing w:line="580" w:lineRule="exact"/>
        <w:jc w:val="left"/>
        <w:textAlignment w:val="auto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1、项目绩效总目标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widowControl/>
        <w:ind w:firstLine="640" w:left="0" w:firstLineChars="200" w:right="0"/>
        <w:spacing w:line="480" w:after="0" w:before="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“禁捕退捕”项目是是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加强长江流域水生生物资源保护，保障长江流域禁捕工作顺利实施，推进水域生态保护修复，依法惩治长江流域非法捕捞等危害水生生物资源的各类违法犯罪，促进生态文明建设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新宋体"/>
          <w:color w:val="000000"/>
        </w:rPr>
        <w:widowControl/>
        <w:ind w:firstLine="640" w:firstLineChars="200"/>
        <w:spacing w:line="3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新宋体"/>
          <w:color w:val="000000"/>
        </w:rPr>
        <w:t xml:space="preserve">2、资金管理情况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新宋体"/>
          <w:color w:val="000000"/>
        </w:rPr>
        <w:t xml:space="preserve">我镇政府财务制度健全，管理规范,账务处理及时，会计核算规范。专项资金严格按照国家规定的项目资金相关法律、法规的规定和要求使用，确保资金的专款专用。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二、绩效评价指标分析情况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楷体_GB2312" w:eastAsia="楷体_GB2312" w:hAnsi="楷体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楷体_GB2312" w:eastAsia="楷体_GB2312" w:hAnsi="楷体_GB2312"/>
        </w:rPr>
        <w:t xml:space="preserve">（一）项目资金情况分析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wordWrap/>
        <w:snapToGrid w:val="0"/>
        <w:ind w:firstLine="643" w:firstLineChars="200"/>
        <w:spacing w:line="580" w:lineRule="exact"/>
        <w:jc w:val="left"/>
        <w:textAlignment w:val="auto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1、项目资金到位情况分析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</w:rPr>
        <w:widowControl/>
        <w:ind w:firstLine="640" w:left="0" w:firstLineChars="200" w:right="0"/>
        <w:spacing w:line="480" w:after="0" w:before="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仿宋_GB2312"/>
        </w:rPr>
        <w:t xml:space="preserve">2021年，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上级主管部门拨付镇村“禁捕退捕”建设资金共约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101.77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万元。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autoSpaceDE/>
        <w:autoSpaceDN/>
        <w:bidi w:val="off"/>
        <w:wordWrap/>
        <w:snapToGrid w:val="0"/>
        <w:ind w:firstLine="643" w:firstLineChars="200"/>
        <w:spacing w:line="580" w:lineRule="exact"/>
        <w:jc w:val="left"/>
        <w:textAlignment w:val="auto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2、项目资金管理情况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在项目资金管理情况方面，我镇政府统一归口管理，坚持专款专用，量入为出的原则，使专用资金按规定的用途使用并达到预期目的，严禁截留、挪用和不合理支出。制订完善财务审批制度、专项资金使用制度等各项管理制度，项目资金使用情况接受财政、审计部门的监督检查，在项目实施过程中和项目完成后，定期或不定期对项目资金的使用进行监督检查，厉行节俭，强化监管，确保专项资金管理规范，促进项目顺利实施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楷体_GB2312" w:eastAsia="楷体_GB2312" w:hAnsi="楷体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楷体_GB2312" w:eastAsia="楷体_GB2312" w:hAnsi="楷体_GB2312"/>
        </w:rPr>
        <w:t xml:space="preserve">（二）项目效益情况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新宋体"/>
          <w:color w:val="000000"/>
        </w:rPr>
        <w:widowControl/>
        <w:ind w:firstLine="0" w:left="722"/>
        <w:spacing w:line="360" w:lineRule="atLeas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新宋体"/>
          <w:color w:val="000000"/>
        </w:rPr>
        <w:t xml:space="preserve">经济效益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widowControl/>
        <w:ind w:firstLine="320" w:left="722" w:firstLineChars="100" w:right="0"/>
        <w:spacing w:line="480" w:after="0" w:before="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渔业资源修复和水域生态环境保护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被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不断推进，渔业产业经济效益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逐将显现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、生态效益和社会效益的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也将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有机统一。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新宋体"/>
          <w:color w:val="000000"/>
        </w:rPr>
        <w:widowControl/>
        <w:ind w:firstLine="0" w:left="722"/>
        <w:spacing w:line="360" w:lineRule="atLeast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新宋体"/>
          <w:color w:val="000000"/>
        </w:rPr>
        <w:t xml:space="preserve">社会效益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widowControl/>
        <w:ind w:firstLine="640" w:left="0" w:firstLineChars="200" w:right="0"/>
        <w:spacing w:line="480" w:after="0" w:before="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项目实施后，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更好地保护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了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渔业资源和水域生态环境。充分发挥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了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天然湖泊、河流和大型水库的生态涵养与渔业种质资源保护功能，增殖放流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被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大力开展，休渔期制度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被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严格执行</w:t>
      </w: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。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widowControl/>
        <w:ind w:firstLine="640" w:left="0" w:firstLineChars="200" w:right="0"/>
        <w:spacing w:line="480" w:after="0" w:before="0" w:lineRule="atLeast"/>
        <w:jc w:val="left"/>
        <w:textAlignment w:val="baseline"/>
      </w:pPr>
      <w:r>
        <w:rPr>
          <w:rStyle w:val="NormalCharacter"/>
          <w:szCs w:val="32"/>
          <w:sz w:val="32"/>
          <w:kern w:val="0"/>
          <w:lang w:val="en-US" w:eastAsia="zh-CN"/>
          <w:rFonts w:ascii="仿宋_GB2312" w:eastAsia="仿宋_GB2312" w:hAnsi="新宋体"/>
          <w:color w:val="000000"/>
        </w:rPr>
        <w:t xml:space="preserve"> 3、服务对象满意度方面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widowControl/>
        <w:ind w:firstLine="640" w:firstLineChars="200"/>
        <w:spacing w:line="360" w:lineRule="atLeast"/>
        <w:jc w:val="both"/>
        <w:textAlignment w:val="baseline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新宋体"/>
          <w:color w:val="000000"/>
        </w:rPr>
        <w:t xml:space="preserve">项目实施将进一步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新宋体"/>
          <w:color w:val="000000"/>
        </w:rPr>
        <w:t xml:space="preserve">保护渔业资源和水域生态环境。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新宋体"/>
          <w:color w:val="000000"/>
        </w:rPr>
        <w:t xml:space="preserve">人民群众满意度会更高。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 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三、经验和建议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3" w:firstLineChars="200"/>
        <w:spacing w:line="580" w:lineRule="exact"/>
        <w:jc w:val="left"/>
        <w:textAlignment w:val="auto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专人负责，责任到人。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针对维修项目多、管理人员少的情况，采取项目负责人制，所有维修由项目负责人全过程负责，全程掌握工程进展情况，统筹协调项目实施过程中出现的各种问题，避免出现多头管理或管理缺位的现象。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3" w:firstLineChars="200"/>
        <w:spacing w:line="580" w:lineRule="exact"/>
        <w:jc w:val="left"/>
        <w:textAlignment w:val="auto"/>
      </w:pPr>
      <w:r>
        <w:rPr>
          <w:rStyle w:val="NormalCharacter"/>
          <w:b/>
          <w:bCs/>
          <w:i w:val="off"/>
          <w:iCs w:val="off"/>
          <w:szCs w:val="32"/>
          <w:sz w:val="32"/>
          <w:kern w:val="2"/>
          <w:lang w:val="en-US" w:eastAsia="zh-CN" w:bidi="ar-SA"/>
          <w:rFonts w:ascii="仿宋_GB2312" w:cs="仿宋_GB2312" w:eastAsia="仿宋_GB2312" w:hAnsi="仿宋_GB2312"/>
        </w:rPr>
        <w:t xml:space="preserve">监督全程，质量第一。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为保证维修项目的工程质量，对工程实行全程综合管理。工程建设时，工程中每一道工序完成，由施工方报验，监理方检查，符合设计要求，签字确认后方可进行下一道工序的施工；工程竣工时，严格按照国家标准进行验收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我镇政府注重实效，注重节约，注重环节，对所有呈报的维修项目都必须经镇班子成员决定一致通过，成立具体的工作小组，有规划设计、有监督管理的项目实施规程。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wordWrap/>
        <w:snapToGrid w:val="0"/>
        <w:ind w:firstLine="640" w:firstLineChars="200"/>
        <w:spacing w:line="580" w:lineRule="exact"/>
        <w:jc w:val="left"/>
        <w:textAlignment w:val="auto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snapToGrid w:val="0"/>
        <w:spacing w:line="580" w:lineRule="exact"/>
        <w:jc w:val="righ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沅江市草尾镇人民政府      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autoSpaceDE/>
        <w:autoSpaceDN/>
        <w:bidi w:val="off"/>
        <w:snapToGrid w:val="0"/>
        <w:spacing w:line="580" w:lineRule="exact"/>
        <w:jc w:val="right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仿宋_GB2312" w:hAnsi="仿宋_GB2312"/>
        </w:rPr>
        <w:t xml:space="preserve">2022年9月5日        </w:t>
      </w:r>
    </w:p>
    <w:sectPr>
      <w:footerReference w:type="default" r:id="rId3"/>
      <w:vAlign w:val="top"/>
      <w:type w:val="nextPage"/>
      <w:pgSz w:h="16838" w:w="11906" w:orient="portrait"/>
      <w:pgMar w:gutter="0" w:header="851" w:top="2041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