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2417" w:rsidRDefault="00D52417" w:rsidP="00D52417">
      <w:pPr>
        <w:pStyle w:val="a3"/>
        <w:shd w:val="clear" w:color="auto" w:fill="FFFFFF"/>
        <w:spacing w:before="0" w:beforeAutospacing="0" w:after="0" w:afterAutospacing="0" w:line="560" w:lineRule="atLeast"/>
        <w:jc w:val="center"/>
        <w:rPr>
          <w:rFonts w:ascii="Calibri" w:hAnsi="Calibri" w:cs="Calibri"/>
          <w:color w:val="000000"/>
          <w:sz w:val="21"/>
          <w:szCs w:val="21"/>
        </w:rPr>
      </w:pPr>
      <w:proofErr w:type="gramStart"/>
      <w:r>
        <w:rPr>
          <w:rFonts w:ascii="方正小标宋简体" w:eastAsia="方正小标宋简体" w:hAnsi="Calibri" w:cs="Calibri" w:hint="eastAsia"/>
          <w:color w:val="000000"/>
          <w:sz w:val="44"/>
          <w:szCs w:val="44"/>
        </w:rPr>
        <w:t>沅江市琼湖</w:t>
      </w:r>
      <w:proofErr w:type="gramEnd"/>
      <w:r>
        <w:rPr>
          <w:rFonts w:ascii="方正小标宋简体" w:eastAsia="方正小标宋简体" w:hAnsi="Calibri" w:cs="Calibri" w:hint="eastAsia"/>
          <w:color w:val="000000"/>
          <w:sz w:val="44"/>
          <w:szCs w:val="44"/>
        </w:rPr>
        <w:t>街道办事处2021年度整体支出绩效评价报告</w:t>
      </w:r>
    </w:p>
    <w:p w:rsidR="00D52417" w:rsidRDefault="00D52417" w:rsidP="00D52417">
      <w:pPr>
        <w:pStyle w:val="a3"/>
        <w:shd w:val="clear" w:color="auto" w:fill="FFFFFF"/>
        <w:spacing w:before="0" w:beforeAutospacing="0" w:after="0" w:afterAutospacing="0" w:line="540" w:lineRule="atLeast"/>
        <w:ind w:firstLine="643"/>
        <w:rPr>
          <w:rFonts w:ascii="Calibri" w:hAnsi="Calibri" w:cs="Calibri"/>
          <w:color w:val="000000"/>
          <w:sz w:val="21"/>
          <w:szCs w:val="21"/>
        </w:rPr>
      </w:pPr>
      <w:r>
        <w:rPr>
          <w:rFonts w:ascii="Calibri" w:hAnsi="Calibri" w:cs="Calibri"/>
          <w:color w:val="000000"/>
          <w:sz w:val="21"/>
          <w:szCs w:val="21"/>
        </w:rPr>
        <w:t> </w:t>
      </w:r>
    </w:p>
    <w:p w:rsidR="00D52417" w:rsidRDefault="00D52417" w:rsidP="00D52417">
      <w:pPr>
        <w:pStyle w:val="a3"/>
        <w:shd w:val="clear" w:color="auto" w:fill="FFFFFF"/>
        <w:spacing w:before="0" w:beforeAutospacing="0" w:after="0" w:afterAutospacing="0" w:line="560" w:lineRule="atLeast"/>
        <w:ind w:firstLine="643"/>
        <w:jc w:val="both"/>
        <w:rPr>
          <w:rFonts w:ascii="Calibri" w:hAnsi="Calibri" w:cs="Calibri"/>
          <w:color w:val="000000"/>
          <w:sz w:val="21"/>
          <w:szCs w:val="21"/>
        </w:rPr>
      </w:pPr>
      <w:r>
        <w:rPr>
          <w:rFonts w:ascii="黑体" w:eastAsia="黑体" w:hAnsi="黑体" w:cs="Calibri" w:hint="eastAsia"/>
          <w:color w:val="000000"/>
          <w:sz w:val="32"/>
          <w:szCs w:val="32"/>
        </w:rPr>
        <w:t>一、部门基本情况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楷体" w:eastAsia="楷体" w:hAnsi="楷体" w:cs="Calibri" w:hint="eastAsia"/>
          <w:color w:val="000000"/>
          <w:sz w:val="32"/>
          <w:szCs w:val="32"/>
        </w:rPr>
        <w:t>（一）机构设置情况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proofErr w:type="gramStart"/>
      <w:r>
        <w:rPr>
          <w:rFonts w:ascii="仿宋" w:eastAsia="仿宋" w:hAnsi="仿宋" w:cs="Calibri" w:hint="eastAsia"/>
          <w:color w:val="000000"/>
          <w:sz w:val="32"/>
          <w:szCs w:val="32"/>
        </w:rPr>
        <w:t>沅江市琼湖</w:t>
      </w:r>
      <w:proofErr w:type="gramEnd"/>
      <w:r>
        <w:rPr>
          <w:rFonts w:ascii="仿宋" w:eastAsia="仿宋" w:hAnsi="仿宋" w:cs="Calibri" w:hint="eastAsia"/>
          <w:color w:val="000000"/>
          <w:sz w:val="32"/>
          <w:szCs w:val="32"/>
        </w:rPr>
        <w:t>街道办事处是国家</w:t>
      </w:r>
      <w:proofErr w:type="gramStart"/>
      <w:r>
        <w:rPr>
          <w:rFonts w:ascii="仿宋" w:eastAsia="仿宋" w:hAnsi="仿宋" w:cs="Calibri" w:hint="eastAsia"/>
          <w:color w:val="000000"/>
          <w:sz w:val="32"/>
          <w:szCs w:val="32"/>
        </w:rPr>
        <w:t>最</w:t>
      </w:r>
      <w:proofErr w:type="gramEnd"/>
      <w:r>
        <w:rPr>
          <w:rFonts w:ascii="仿宋" w:eastAsia="仿宋" w:hAnsi="仿宋" w:cs="Calibri" w:hint="eastAsia"/>
          <w:color w:val="000000"/>
          <w:sz w:val="32"/>
          <w:szCs w:val="32"/>
        </w:rPr>
        <w:t>基层的政权机关和最基本的独立行政单元，具有执行国家意志的义务和保一方平安的责任，有促进地区经济发展，提供公共服务的职能。</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琼湖街道办事处内设股室7个，所属事业单位5个：</w:t>
      </w:r>
    </w:p>
    <w:p w:rsidR="00D52417" w:rsidRDefault="00D52417" w:rsidP="00D52417">
      <w:pPr>
        <w:pStyle w:val="a3"/>
        <w:shd w:val="clear" w:color="auto" w:fill="FFFFFF"/>
        <w:spacing w:before="0" w:beforeAutospacing="0" w:after="0" w:afterAutospacing="0" w:line="560" w:lineRule="atLeast"/>
        <w:ind w:firstLine="640"/>
        <w:jc w:val="both"/>
        <w:rPr>
          <w:color w:val="000000"/>
        </w:rPr>
      </w:pPr>
      <w:r>
        <w:rPr>
          <w:rFonts w:ascii="仿宋" w:eastAsia="仿宋" w:hAnsi="仿宋" w:hint="eastAsia"/>
          <w:color w:val="000000"/>
          <w:sz w:val="32"/>
          <w:szCs w:val="32"/>
        </w:rPr>
        <w:t>内设股室分别是党政办公室、党建办公室、经济发展办公室、社会事务办公室、自然资源和生态环境办公室、社会治安和应急管理办公室、财政财务管理办公室。</w:t>
      </w:r>
    </w:p>
    <w:p w:rsidR="00D52417" w:rsidRDefault="00D52417" w:rsidP="00D52417">
      <w:pPr>
        <w:pStyle w:val="a3"/>
        <w:shd w:val="clear" w:color="auto" w:fill="FFFFFF"/>
        <w:spacing w:before="0" w:beforeAutospacing="0" w:after="0" w:afterAutospacing="0" w:line="560" w:lineRule="atLeast"/>
        <w:ind w:firstLine="640"/>
        <w:jc w:val="both"/>
        <w:rPr>
          <w:rFonts w:hint="eastAsia"/>
          <w:color w:val="000000"/>
        </w:rPr>
      </w:pPr>
      <w:r>
        <w:rPr>
          <w:rFonts w:ascii="仿宋" w:eastAsia="仿宋" w:hAnsi="仿宋" w:hint="eastAsia"/>
          <w:color w:val="000000"/>
          <w:sz w:val="32"/>
          <w:szCs w:val="32"/>
        </w:rPr>
        <w:t>所属事业单位分别</w:t>
      </w:r>
      <w:proofErr w:type="gramStart"/>
      <w:r>
        <w:rPr>
          <w:rFonts w:ascii="仿宋" w:eastAsia="仿宋" w:hAnsi="仿宋" w:hint="eastAsia"/>
          <w:color w:val="000000"/>
          <w:sz w:val="32"/>
          <w:szCs w:val="32"/>
        </w:rPr>
        <w:t>是市琼湖</w:t>
      </w:r>
      <w:proofErr w:type="gramEnd"/>
      <w:r>
        <w:rPr>
          <w:rFonts w:ascii="仿宋" w:eastAsia="仿宋" w:hAnsi="仿宋" w:hint="eastAsia"/>
          <w:color w:val="000000"/>
          <w:sz w:val="32"/>
          <w:szCs w:val="32"/>
        </w:rPr>
        <w:t>街道综合行政执法大队、</w:t>
      </w:r>
      <w:proofErr w:type="gramStart"/>
      <w:r>
        <w:rPr>
          <w:rFonts w:ascii="仿宋" w:eastAsia="仿宋" w:hAnsi="仿宋" w:hint="eastAsia"/>
          <w:color w:val="000000"/>
          <w:sz w:val="32"/>
          <w:szCs w:val="32"/>
        </w:rPr>
        <w:t>市琼湖</w:t>
      </w:r>
      <w:proofErr w:type="gramEnd"/>
      <w:r>
        <w:rPr>
          <w:rFonts w:ascii="仿宋" w:eastAsia="仿宋" w:hAnsi="仿宋" w:hint="eastAsia"/>
          <w:color w:val="000000"/>
          <w:sz w:val="32"/>
          <w:szCs w:val="32"/>
        </w:rPr>
        <w:t>街道社会事务综合服务中心、</w:t>
      </w:r>
      <w:proofErr w:type="gramStart"/>
      <w:r>
        <w:rPr>
          <w:rFonts w:ascii="仿宋" w:eastAsia="仿宋" w:hAnsi="仿宋" w:hint="eastAsia"/>
          <w:color w:val="000000"/>
          <w:sz w:val="32"/>
          <w:szCs w:val="32"/>
        </w:rPr>
        <w:t>市琼湖</w:t>
      </w:r>
      <w:proofErr w:type="gramEnd"/>
      <w:r>
        <w:rPr>
          <w:rFonts w:ascii="仿宋" w:eastAsia="仿宋" w:hAnsi="仿宋" w:hint="eastAsia"/>
          <w:color w:val="000000"/>
          <w:sz w:val="32"/>
          <w:szCs w:val="32"/>
        </w:rPr>
        <w:t>街道农业综合服务中心、</w:t>
      </w:r>
      <w:proofErr w:type="gramStart"/>
      <w:r>
        <w:rPr>
          <w:rFonts w:ascii="仿宋" w:eastAsia="仿宋" w:hAnsi="仿宋" w:hint="eastAsia"/>
          <w:color w:val="000000"/>
          <w:sz w:val="32"/>
          <w:szCs w:val="32"/>
        </w:rPr>
        <w:t>市琼湖</w:t>
      </w:r>
      <w:proofErr w:type="gramEnd"/>
      <w:r>
        <w:rPr>
          <w:rFonts w:ascii="仿宋" w:eastAsia="仿宋" w:hAnsi="仿宋" w:hint="eastAsia"/>
          <w:color w:val="000000"/>
          <w:sz w:val="32"/>
          <w:szCs w:val="32"/>
        </w:rPr>
        <w:t>街道党群和政务服务中心、</w:t>
      </w:r>
      <w:proofErr w:type="gramStart"/>
      <w:r>
        <w:rPr>
          <w:rFonts w:ascii="仿宋" w:eastAsia="仿宋" w:hAnsi="仿宋" w:hint="eastAsia"/>
          <w:color w:val="000000"/>
          <w:sz w:val="32"/>
          <w:szCs w:val="32"/>
        </w:rPr>
        <w:t>市琼湖</w:t>
      </w:r>
      <w:proofErr w:type="gramEnd"/>
      <w:r>
        <w:rPr>
          <w:rFonts w:ascii="仿宋" w:eastAsia="仿宋" w:hAnsi="仿宋" w:hint="eastAsia"/>
          <w:color w:val="000000"/>
          <w:sz w:val="32"/>
          <w:szCs w:val="32"/>
        </w:rPr>
        <w:t>街道退役军人服务站。</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hint="eastAsia"/>
          <w:color w:val="000000"/>
          <w:sz w:val="21"/>
          <w:szCs w:val="21"/>
        </w:rPr>
      </w:pPr>
      <w:r>
        <w:rPr>
          <w:rFonts w:ascii="楷体" w:eastAsia="楷体" w:hAnsi="楷体" w:cs="Calibri" w:hint="eastAsia"/>
          <w:color w:val="000000"/>
          <w:sz w:val="32"/>
          <w:szCs w:val="32"/>
        </w:rPr>
        <w:t>（二）人员情况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proofErr w:type="gramStart"/>
      <w:r>
        <w:rPr>
          <w:rFonts w:ascii="仿宋" w:eastAsia="仿宋" w:hAnsi="仿宋" w:cs="Calibri" w:hint="eastAsia"/>
          <w:color w:val="000000"/>
          <w:sz w:val="32"/>
          <w:szCs w:val="32"/>
        </w:rPr>
        <w:t>沅江市琼湖</w:t>
      </w:r>
      <w:proofErr w:type="gramEnd"/>
      <w:r>
        <w:rPr>
          <w:rFonts w:ascii="仿宋" w:eastAsia="仿宋" w:hAnsi="仿宋" w:cs="Calibri" w:hint="eastAsia"/>
          <w:color w:val="000000"/>
          <w:sz w:val="32"/>
          <w:szCs w:val="32"/>
        </w:rPr>
        <w:t>街道办事处是财政全额拨款单位，目前实有在职人员187人。</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楷体" w:eastAsia="楷体" w:hAnsi="楷体" w:cs="Calibri" w:hint="eastAsia"/>
          <w:color w:val="000000"/>
          <w:sz w:val="32"/>
          <w:szCs w:val="32"/>
        </w:rPr>
        <w:t>（三）主要工作职责</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lastRenderedPageBreak/>
        <w:t>琼湖街道办事处贯彻落实党中央关于街道工作的方针政策和决策部署,全面落实省委、益阳市委、沅江市委关于街道工作的部署要求，在履行职责过程中坚持和加强党对街道工作的集中统一领导。领导本地区经济、政治、文化、社会、生态文明建设等各项工作和基层社会治理；依法行使政府管理和服务职能。</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1.加强党的建设。以党的建设为引领，全面加强基层政权和基层组织建设；落实基层党建工作责任制，统筹街道社区和村的党建，加强非公有制经济组织和社会组织党建工作，实现党的组织和工作全覆盖。不断提高党的建设质量，落实管党治党责任，推动全面从严治党向基层延伸。</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2.推进区域发展。根据经济社会发展特点，统筹制定并落实辖区发展的重大决策和建设规划。统筹做好采集企业信息、促进项目发展、服务辖区内企业、优化投资环境、人才服务、创业创新服务等工作。指导农村经济发展，推进农业结构调整，建立健全减轻农民负担的监督管理机制，促进农民增收，实施乡村振兴战略，全面推进新农村建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3.组织公共服务。围绕街道发展定位和工作目标，负责实施辖区公共服务设施建设规划，组织实施与群众生活密切相关的各项公共服务，完善社区（村）、教育、医疗等公共配套服务设施，落实人力资源和社会保障、医疗保障、民政、</w:t>
      </w:r>
      <w:r>
        <w:rPr>
          <w:rFonts w:ascii="仿宋" w:eastAsia="仿宋" w:hAnsi="仿宋" w:cs="Calibri" w:hint="eastAsia"/>
          <w:color w:val="000000"/>
          <w:sz w:val="32"/>
          <w:szCs w:val="32"/>
        </w:rPr>
        <w:lastRenderedPageBreak/>
        <w:t>教育、科技、文化体育、卫生健康、退役军人等方面相关政策。</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4.实施公共管理。承担辖区内城乡管理、人口管理、社会管理等工作的组织领导、推进实施、综合协调职责，实施辖区内相关行政事务的常态化管理。</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5.维护公共安全。负责辖区平安建设、社会治安综合治理、应急管理、公共安全等相关工作；处理群众来信来访，反映社情民意，化解矛盾纠纷等。抓好法制宣传和普法教育，提高城乡居民的法律素质，保护公民和各类经济组织的合法权益。</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6.加强监管执法。负责辖区内的综合行政执法管理工作，对辖区内各类行政执法工作进行统筹协调；加强市场监管、安全生产监管、生态环境保护监管和消防安全监管等工作。</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7.领导基层自治。领导村委会、社区居委会建设，加强政治引领和能力建设，推进街道政务公开、居（村）</w:t>
      </w:r>
      <w:proofErr w:type="gramStart"/>
      <w:r>
        <w:rPr>
          <w:rFonts w:ascii="仿宋" w:eastAsia="仿宋" w:hAnsi="仿宋" w:cs="Calibri" w:hint="eastAsia"/>
          <w:color w:val="000000"/>
          <w:sz w:val="32"/>
          <w:szCs w:val="32"/>
        </w:rPr>
        <w:t>务</w:t>
      </w:r>
      <w:proofErr w:type="gramEnd"/>
      <w:r>
        <w:rPr>
          <w:rFonts w:ascii="仿宋" w:eastAsia="仿宋" w:hAnsi="仿宋" w:cs="Calibri" w:hint="eastAsia"/>
          <w:color w:val="000000"/>
          <w:sz w:val="32"/>
          <w:szCs w:val="32"/>
        </w:rPr>
        <w:t>公开，接受群众和社会监督；组织城乡居民（村民）和单位参与社区（村）建设和管理。</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8.动员社会参与。动员辖区内各类单位、社会组织和城乡居民等社会力量参与社会治理，引导辖区内单位履行社会责任，整合区域内各种社会力量为街道、社区（村）发展服务。</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lastRenderedPageBreak/>
        <w:t>9.职能转变。全面加强基层党的建设，提升党建引领基层治理的能力。优化公共服务，为经济社会发展提供良好的营商环境。加强对辖区内综合管理工作的组织实施和统筹协调职责。加强辖区内与居民（村民）密切相关的行政审批和公共服务的组织实施职责。加强维护辖区公共安全职责。</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10.承办市委、市政府交办的其他任务。</w:t>
      </w:r>
    </w:p>
    <w:p w:rsidR="00D52417" w:rsidRDefault="00D52417" w:rsidP="00D52417">
      <w:pPr>
        <w:pStyle w:val="a3"/>
        <w:shd w:val="clear" w:color="auto" w:fill="FFFFFF"/>
        <w:spacing w:before="0" w:beforeAutospacing="0" w:after="0" w:afterAutospacing="0" w:line="560" w:lineRule="atLeast"/>
        <w:jc w:val="both"/>
        <w:rPr>
          <w:rFonts w:ascii="华文中宋" w:eastAsia="华文中宋" w:hAnsi="华文中宋"/>
          <w:caps/>
          <w:color w:val="000000"/>
        </w:rPr>
      </w:pPr>
      <w:r>
        <w:rPr>
          <w:rStyle w:val="a4"/>
          <w:rFonts w:ascii="Calibri" w:eastAsia="仿宋" w:hAnsi="Calibri" w:cs="Calibri"/>
          <w:b w:val="0"/>
          <w:bCs w:val="0"/>
          <w:caps/>
          <w:color w:val="000000"/>
          <w:sz w:val="32"/>
          <w:szCs w:val="32"/>
        </w:rPr>
        <w:t>  </w:t>
      </w:r>
      <w:r>
        <w:rPr>
          <w:rFonts w:ascii="Calibri" w:eastAsia="黑体" w:hAnsi="Calibri" w:cs="Calibri"/>
          <w:caps/>
          <w:color w:val="000000"/>
          <w:sz w:val="32"/>
          <w:szCs w:val="32"/>
        </w:rPr>
        <w:t>  </w:t>
      </w:r>
      <w:r>
        <w:rPr>
          <w:rFonts w:ascii="黑体" w:eastAsia="黑体" w:hAnsi="黑体" w:hint="eastAsia"/>
          <w:caps/>
          <w:color w:val="000000"/>
          <w:sz w:val="32"/>
          <w:szCs w:val="32"/>
        </w:rPr>
        <w:t>二、部门整体支出管理及使用情况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hint="eastAsia"/>
          <w:color w:val="000000"/>
          <w:sz w:val="21"/>
          <w:szCs w:val="21"/>
        </w:rPr>
      </w:pPr>
      <w:r>
        <w:rPr>
          <w:rFonts w:ascii="楷体" w:eastAsia="楷体" w:hAnsi="楷体" w:cs="Calibri" w:hint="eastAsia"/>
          <w:color w:val="000000"/>
          <w:sz w:val="32"/>
          <w:szCs w:val="32"/>
        </w:rPr>
        <w:t>（一）基本支出的管理和使用情况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1.基本支出的主要用途范围及资金的管理情况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我单位基本支出主要用于维持机关基本运转，履行部门主要职责而发生的各项支出，包括基本工资、津贴补贴、奖金、伙食补助费、</w:t>
      </w:r>
      <w:proofErr w:type="gramStart"/>
      <w:r>
        <w:rPr>
          <w:rFonts w:ascii="仿宋" w:eastAsia="仿宋" w:hAnsi="仿宋" w:cs="Calibri" w:hint="eastAsia"/>
          <w:color w:val="000000"/>
          <w:sz w:val="32"/>
          <w:szCs w:val="32"/>
        </w:rPr>
        <w:t>三险二</w:t>
      </w:r>
      <w:proofErr w:type="gramEnd"/>
      <w:r>
        <w:rPr>
          <w:rFonts w:ascii="仿宋" w:eastAsia="仿宋" w:hAnsi="仿宋" w:cs="Calibri" w:hint="eastAsia"/>
          <w:color w:val="000000"/>
          <w:sz w:val="32"/>
          <w:szCs w:val="32"/>
        </w:rPr>
        <w:t>金、办公费、电费、差旅费、工会经费、其他交通费用、对个人和家庭的补助等。基本支出的主要用途及资金的管理情况：2021年基本支出1837.51万元，其中：工资福利支出1621.28万元；对个人和家庭的补助9.33万元；商品和服务支出206.90万元。</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2.年初总预算收支情况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2021年单位预算收入2166.61万元，全部为一般公共预算拨款，；2021年单位预算支出2166.61万元，其中：</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基本支出1837.51万元，分别为：人员经费支出1630.61万元，公用经费支出206.90万元，主要是保障单位机构正常运转、完成日常工作任务而发生的各项支出，包括用于基本</w:t>
      </w:r>
      <w:r>
        <w:rPr>
          <w:rFonts w:ascii="仿宋" w:eastAsia="仿宋" w:hAnsi="仿宋" w:cs="Calibri" w:hint="eastAsia"/>
          <w:color w:val="000000"/>
          <w:sz w:val="32"/>
          <w:szCs w:val="32"/>
        </w:rPr>
        <w:lastRenderedPageBreak/>
        <w:t>工资、津贴补贴等人员经费以及办公费、印刷费、水电费、办公设备购置等日常公用经费。</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项目支出329.10万元，其中:武装征兵项目支出5.00万元，主要用于武装征兵等方面；文化活动项目支出15.00万元，主要用于广场舞比赛、篮球比赛等方面；扶贫项目支出10.00万元，主要用于开展扶贫工作等方面；防汛项目支出50.00万元，主要用于防汛工作等方面；综</w:t>
      </w:r>
      <w:proofErr w:type="gramStart"/>
      <w:r>
        <w:rPr>
          <w:rFonts w:ascii="仿宋" w:eastAsia="仿宋" w:hAnsi="仿宋" w:cs="Calibri" w:hint="eastAsia"/>
          <w:color w:val="000000"/>
          <w:sz w:val="32"/>
          <w:szCs w:val="32"/>
        </w:rPr>
        <w:t>治维稳项目</w:t>
      </w:r>
      <w:proofErr w:type="gramEnd"/>
      <w:r>
        <w:rPr>
          <w:rFonts w:ascii="仿宋" w:eastAsia="仿宋" w:hAnsi="仿宋" w:cs="Calibri" w:hint="eastAsia"/>
          <w:color w:val="000000"/>
          <w:sz w:val="32"/>
          <w:szCs w:val="32"/>
        </w:rPr>
        <w:t>支出50.00万元，主要用于信访、</w:t>
      </w:r>
      <w:proofErr w:type="gramStart"/>
      <w:r>
        <w:rPr>
          <w:rFonts w:ascii="仿宋" w:eastAsia="仿宋" w:hAnsi="仿宋" w:cs="Calibri" w:hint="eastAsia"/>
          <w:color w:val="000000"/>
          <w:sz w:val="32"/>
          <w:szCs w:val="32"/>
        </w:rPr>
        <w:t>维稳等</w:t>
      </w:r>
      <w:proofErr w:type="gramEnd"/>
      <w:r>
        <w:rPr>
          <w:rFonts w:ascii="仿宋" w:eastAsia="仿宋" w:hAnsi="仿宋" w:cs="Calibri" w:hint="eastAsia"/>
          <w:color w:val="000000"/>
          <w:sz w:val="32"/>
          <w:szCs w:val="32"/>
        </w:rPr>
        <w:t>方面；创</w:t>
      </w:r>
      <w:proofErr w:type="gramStart"/>
      <w:r>
        <w:rPr>
          <w:rFonts w:ascii="仿宋" w:eastAsia="仿宋" w:hAnsi="仿宋" w:cs="Calibri" w:hint="eastAsia"/>
          <w:color w:val="000000"/>
          <w:sz w:val="32"/>
          <w:szCs w:val="32"/>
        </w:rPr>
        <w:t>卫项目</w:t>
      </w:r>
      <w:proofErr w:type="gramEnd"/>
      <w:r>
        <w:rPr>
          <w:rFonts w:ascii="仿宋" w:eastAsia="仿宋" w:hAnsi="仿宋" w:cs="Calibri" w:hint="eastAsia"/>
          <w:color w:val="000000"/>
          <w:sz w:val="32"/>
          <w:szCs w:val="32"/>
        </w:rPr>
        <w:t>支出100.00万元；机构运转保障支出37.90万元；转移支付61.20万元。</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3.本年财政拨款预算追加及年度可用财政拨款预算指标情况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2021年财政拨款无结余。</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4.年度预算收入决算情况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2021年度决算总收入13538.72万元，较上年11125.11万元增加了2143.61万元，增加21.70</w:t>
      </w:r>
      <w:r>
        <w:rPr>
          <w:rFonts w:ascii="Calibri" w:eastAsia="仿宋" w:hAnsi="Calibri" w:cs="Calibri"/>
          <w:color w:val="000000"/>
          <w:sz w:val="32"/>
          <w:szCs w:val="32"/>
        </w:rPr>
        <w:t> </w:t>
      </w:r>
      <w:r>
        <w:rPr>
          <w:rFonts w:ascii="仿宋" w:eastAsia="仿宋" w:hAnsi="仿宋" w:cs="Calibri" w:hint="eastAsia"/>
          <w:color w:val="000000"/>
          <w:sz w:val="32"/>
          <w:szCs w:val="32"/>
        </w:rPr>
        <w:t>%，主要原因：上级主管部门拨款增加。其中财政拨款收入5316.32万元，占总收入的39.27%。包括（1）一般公共预算财政拨款收入：4828.00万元，占财政拨款收入的90.81%；（2）政府性基金预算财政拨款收入：471.75万元，占财政拨款收入的8.87%；（3）国有资本经营预算财政拨款收入16.56万元，占财政拨款收入的0.32%。其他收入8222.40万元，占总收入的60.73%。</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lastRenderedPageBreak/>
        <w:t>5.年度预算支出决算及结余情况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2021年度决算总支出为13896.10万元，较上年11579.39万元增加了2316.71万元，增加20.01%，主要原因是支出增加。其中：基本支出完成2183.67万元，比上年增加201.91万元，增长10.19%，项目支出11712.43万元，比上年增加2114.80万元，增长22.03%。人员经费完成1932.06万元，比上年增加169.71万元，增长9.63%；公用经费完成251.60万元，比上年增加32.19万元，增长14.67%。</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2021年，本单位年末结转和结余资金1312.96万元，比上年减少671.57万元，减少35.62%。</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根据资金性质其中：基本支出结转0万元;项目支出结转结余1312.96万元,比上年减少519.94万元，减少28.37%。</w:t>
      </w:r>
    </w:p>
    <w:p w:rsidR="00D52417" w:rsidRDefault="00D52417" w:rsidP="00D52417">
      <w:pPr>
        <w:pStyle w:val="a3"/>
        <w:shd w:val="clear" w:color="auto" w:fill="FFFFFF"/>
        <w:spacing w:before="120" w:beforeAutospacing="0" w:after="120" w:afterAutospacing="0" w:line="560" w:lineRule="atLeast"/>
        <w:jc w:val="both"/>
        <w:rPr>
          <w:rFonts w:ascii="华文中宋" w:eastAsia="华文中宋" w:hAnsi="华文中宋"/>
          <w:caps/>
          <w:color w:val="000000"/>
        </w:rPr>
      </w:pPr>
      <w:r>
        <w:rPr>
          <w:rFonts w:ascii="Calibri" w:eastAsia="仿宋" w:hAnsi="Calibri" w:cs="Calibri"/>
          <w:caps/>
          <w:color w:val="000000"/>
          <w:sz w:val="32"/>
          <w:szCs w:val="32"/>
        </w:rPr>
        <w:t>    </w:t>
      </w:r>
      <w:r>
        <w:rPr>
          <w:rFonts w:ascii="仿宋" w:eastAsia="仿宋" w:hAnsi="仿宋" w:hint="eastAsia"/>
          <w:caps/>
          <w:color w:val="000000"/>
          <w:sz w:val="32"/>
          <w:szCs w:val="32"/>
        </w:rPr>
        <w:t>6.本年“三公经费”预算情况</w:t>
      </w:r>
    </w:p>
    <w:p w:rsidR="00D52417" w:rsidRDefault="00D52417" w:rsidP="00D52417">
      <w:pPr>
        <w:pStyle w:val="a3"/>
        <w:shd w:val="clear" w:color="auto" w:fill="FFFFFF"/>
        <w:spacing w:before="0" w:beforeAutospacing="0" w:after="0" w:afterAutospacing="0" w:line="560" w:lineRule="atLeast"/>
        <w:jc w:val="both"/>
        <w:rPr>
          <w:rFonts w:ascii="Calibri" w:hAnsi="Calibri" w:cs="Calibri" w:hint="eastAsia"/>
          <w:color w:val="000000"/>
          <w:sz w:val="21"/>
          <w:szCs w:val="21"/>
        </w:rPr>
      </w:pPr>
      <w:r>
        <w:rPr>
          <w:rFonts w:ascii="Calibri" w:eastAsia="仿宋" w:hAnsi="Calibri" w:cs="Calibri"/>
          <w:color w:val="000000"/>
          <w:sz w:val="32"/>
          <w:szCs w:val="32"/>
        </w:rPr>
        <w:t>    </w:t>
      </w:r>
      <w:r>
        <w:rPr>
          <w:rFonts w:ascii="仿宋" w:eastAsia="仿宋" w:hAnsi="仿宋" w:cs="Calibri" w:hint="eastAsia"/>
          <w:color w:val="000000"/>
          <w:sz w:val="32"/>
          <w:szCs w:val="32"/>
        </w:rPr>
        <w:t>2021年，我单位“三公经费”财政拨款预算数18.40万元，较2021年减少0.80万元，减少4.17%，其中：公务接待费11.8万元，较2020年增加0.20万元，增加1.72%；公务用车购置费用0万元，较2020年无变化，公务用车运行维护费6.60万元，较2020年减少1.00万元，减少13.16%。</w:t>
      </w:r>
    </w:p>
    <w:p w:rsidR="00D52417" w:rsidRDefault="00D52417" w:rsidP="00D52417">
      <w:pPr>
        <w:pStyle w:val="a3"/>
        <w:shd w:val="clear" w:color="auto" w:fill="FFFFFF"/>
        <w:spacing w:before="120" w:beforeAutospacing="0" w:after="120" w:afterAutospacing="0" w:line="560" w:lineRule="atLeast"/>
        <w:jc w:val="both"/>
        <w:rPr>
          <w:rFonts w:ascii="华文中宋" w:eastAsia="华文中宋" w:hAnsi="华文中宋"/>
          <w:caps/>
          <w:color w:val="000000"/>
        </w:rPr>
      </w:pPr>
      <w:r>
        <w:rPr>
          <w:rFonts w:ascii="Calibri" w:eastAsia="仿宋" w:hAnsi="Calibri" w:cs="Calibri"/>
          <w:caps/>
          <w:color w:val="000000"/>
          <w:sz w:val="32"/>
          <w:szCs w:val="32"/>
        </w:rPr>
        <w:t>    </w:t>
      </w:r>
      <w:r>
        <w:rPr>
          <w:rFonts w:ascii="仿宋" w:eastAsia="仿宋" w:hAnsi="仿宋" w:hint="eastAsia"/>
          <w:caps/>
          <w:color w:val="000000"/>
          <w:sz w:val="32"/>
          <w:szCs w:val="32"/>
        </w:rPr>
        <w:t>7.“三公经费”预算执行情况</w:t>
      </w:r>
    </w:p>
    <w:p w:rsidR="00D52417" w:rsidRDefault="00D52417" w:rsidP="00D52417">
      <w:pPr>
        <w:pStyle w:val="a3"/>
        <w:shd w:val="clear" w:color="auto" w:fill="FFFFFF"/>
        <w:spacing w:before="0" w:beforeAutospacing="0" w:after="0" w:afterAutospacing="0" w:line="560" w:lineRule="atLeast"/>
        <w:jc w:val="both"/>
        <w:rPr>
          <w:rFonts w:ascii="Calibri" w:hAnsi="Calibri" w:cs="Calibri" w:hint="eastAsia"/>
          <w:color w:val="000000"/>
          <w:sz w:val="21"/>
          <w:szCs w:val="21"/>
        </w:rPr>
      </w:pPr>
      <w:r>
        <w:rPr>
          <w:rFonts w:ascii="Calibri" w:eastAsia="仿宋" w:hAnsi="Calibri" w:cs="Calibri"/>
          <w:color w:val="000000"/>
          <w:sz w:val="32"/>
          <w:szCs w:val="32"/>
        </w:rPr>
        <w:t>    </w:t>
      </w:r>
      <w:r>
        <w:rPr>
          <w:rFonts w:ascii="仿宋" w:eastAsia="仿宋" w:hAnsi="仿宋" w:cs="Calibri" w:hint="eastAsia"/>
          <w:color w:val="000000"/>
          <w:sz w:val="32"/>
          <w:szCs w:val="32"/>
        </w:rPr>
        <w:t>2021年，我单位“三公经费”支出决算数：2021年，“三公”经费完成17.30万元，比上年减少1.86万元，减少9.70%。</w:t>
      </w:r>
      <w:r>
        <w:rPr>
          <w:rFonts w:ascii="仿宋" w:eastAsia="仿宋" w:hAnsi="仿宋" w:cs="Calibri" w:hint="eastAsia"/>
          <w:color w:val="000000"/>
          <w:sz w:val="32"/>
          <w:szCs w:val="32"/>
        </w:rPr>
        <w:lastRenderedPageBreak/>
        <w:t>其中：因公出国（境）费完成0元，比上年增减0元，增加下降0%；公务接待费完成11.56万元，比上年增加0.24万元，增加2.08%；公务用车购置及运行维护费完成5.50万元，比上年减少2.10万元，减少27.63%。</w:t>
      </w:r>
    </w:p>
    <w:p w:rsidR="00D52417" w:rsidRDefault="00D52417" w:rsidP="00D52417">
      <w:pPr>
        <w:pStyle w:val="a3"/>
        <w:shd w:val="clear" w:color="auto" w:fill="FFFFFF"/>
        <w:spacing w:before="0" w:beforeAutospacing="0" w:after="0" w:afterAutospacing="0" w:line="560" w:lineRule="atLeast"/>
        <w:jc w:val="both"/>
        <w:rPr>
          <w:rFonts w:ascii="Calibri" w:hAnsi="Calibri" w:cs="Calibri"/>
          <w:color w:val="000000"/>
          <w:sz w:val="21"/>
          <w:szCs w:val="21"/>
        </w:rPr>
      </w:pPr>
      <w:r>
        <w:rPr>
          <w:rFonts w:ascii="Calibri" w:eastAsia="仿宋" w:hAnsi="Calibri" w:cs="Calibri"/>
          <w:color w:val="000000"/>
          <w:sz w:val="32"/>
          <w:szCs w:val="32"/>
        </w:rPr>
        <w:t>    </w:t>
      </w:r>
      <w:r>
        <w:rPr>
          <w:rFonts w:ascii="仿宋" w:eastAsia="仿宋" w:hAnsi="仿宋" w:cs="Calibri" w:hint="eastAsia"/>
          <w:color w:val="000000"/>
          <w:sz w:val="32"/>
          <w:szCs w:val="32"/>
        </w:rPr>
        <w:t>8.与上年比较“三公经费”控制情况</w:t>
      </w:r>
    </w:p>
    <w:p w:rsidR="00D52417" w:rsidRDefault="00D52417" w:rsidP="00D52417">
      <w:pPr>
        <w:pStyle w:val="a3"/>
        <w:shd w:val="clear" w:color="auto" w:fill="FFFFFF"/>
        <w:spacing w:before="0" w:beforeAutospacing="0" w:after="0" w:afterAutospacing="0" w:line="560" w:lineRule="atLeast"/>
        <w:jc w:val="both"/>
        <w:rPr>
          <w:rFonts w:ascii="Calibri" w:hAnsi="Calibri" w:cs="Calibri"/>
          <w:color w:val="000000"/>
          <w:sz w:val="21"/>
          <w:szCs w:val="21"/>
        </w:rPr>
      </w:pPr>
      <w:r>
        <w:rPr>
          <w:rFonts w:ascii="Calibri" w:eastAsia="仿宋" w:hAnsi="Calibri" w:cs="Calibri"/>
          <w:color w:val="000000"/>
          <w:sz w:val="32"/>
          <w:szCs w:val="32"/>
        </w:rPr>
        <w:t>    </w:t>
      </w:r>
      <w:r>
        <w:rPr>
          <w:rFonts w:ascii="仿宋" w:eastAsia="仿宋" w:hAnsi="仿宋" w:cs="Calibri" w:hint="eastAsia"/>
          <w:color w:val="000000"/>
          <w:sz w:val="32"/>
          <w:szCs w:val="32"/>
        </w:rPr>
        <w:t>与2021年度“三公经费”比较，比上年减少1.86万元，减少9.70%。其中：因公出国（境）费完成0元，比上年增减0元，增加下降0%；公务接待费完成11.56万元，比上年减少0.24万元，减少2.08%；公务用车购置及运行维护费完成5.50万元，比上年减少2.10万元，下降27.63%。</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楷体" w:eastAsia="楷体" w:hAnsi="楷体" w:cs="Calibri" w:hint="eastAsia"/>
          <w:color w:val="000000"/>
          <w:sz w:val="32"/>
          <w:szCs w:val="32"/>
        </w:rPr>
        <w:t>（二）专项支出的管理和使用情况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1.专项资金（包括财政资金、自筹资金等）安排落实，总投入等情况分析</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2021年专项支出预算数为329.10万元，资金来源：经费拨款89.10万元，纳入公共预算管理的非税收入拨款240万元；</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支出组成：</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征兵武装支出5.00万元（全部来源于“纳入公共预算管理的非税收入拨款”）；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机构运转保障支出37.90万元（全部来源于“经费拨款”）；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文化活动开支15.00万元（全部来源于“纳入公共预算管理的非税收入拨款”）；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lastRenderedPageBreak/>
        <w:t>扶贫经费</w:t>
      </w:r>
      <w:r>
        <w:rPr>
          <w:rFonts w:ascii="Calibri" w:eastAsia="仿宋" w:hAnsi="Calibri" w:cs="Calibri"/>
          <w:color w:val="000000"/>
          <w:sz w:val="32"/>
          <w:szCs w:val="32"/>
        </w:rPr>
        <w:t> </w:t>
      </w:r>
      <w:r>
        <w:rPr>
          <w:rFonts w:ascii="仿宋" w:eastAsia="仿宋" w:hAnsi="仿宋" w:cs="Calibri" w:hint="eastAsia"/>
          <w:color w:val="000000"/>
          <w:sz w:val="32"/>
          <w:szCs w:val="32"/>
        </w:rPr>
        <w:t>10.00万元（全部来源于“纳入公共预算管理的非税收入拨款”）；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防汛抗旱50.00万元（全部来源于“纳入公共预算管理的非税收入拨款”）；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机关信访综</w:t>
      </w:r>
      <w:proofErr w:type="gramStart"/>
      <w:r>
        <w:rPr>
          <w:rFonts w:ascii="仿宋" w:eastAsia="仿宋" w:hAnsi="仿宋" w:cs="Calibri" w:hint="eastAsia"/>
          <w:color w:val="000000"/>
          <w:sz w:val="32"/>
          <w:szCs w:val="32"/>
        </w:rPr>
        <w:t>治维稳</w:t>
      </w:r>
      <w:proofErr w:type="gramEnd"/>
      <w:r>
        <w:rPr>
          <w:rFonts w:ascii="仿宋" w:eastAsia="仿宋" w:hAnsi="仿宋" w:cs="Calibri" w:hint="eastAsia"/>
          <w:color w:val="000000"/>
          <w:sz w:val="32"/>
          <w:szCs w:val="32"/>
        </w:rPr>
        <w:t>50.00万元（全部来源于“纳入公共预算管理的非税收入拨款”）；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创卫开支</w:t>
      </w:r>
      <w:r>
        <w:rPr>
          <w:rFonts w:ascii="Calibri" w:eastAsia="仿宋" w:hAnsi="Calibri" w:cs="Calibri"/>
          <w:color w:val="000000"/>
          <w:sz w:val="32"/>
          <w:szCs w:val="32"/>
        </w:rPr>
        <w:t> </w:t>
      </w:r>
      <w:r>
        <w:rPr>
          <w:rFonts w:ascii="仿宋" w:eastAsia="仿宋" w:hAnsi="仿宋" w:cs="Calibri" w:hint="eastAsia"/>
          <w:color w:val="000000"/>
          <w:sz w:val="32"/>
          <w:szCs w:val="32"/>
        </w:rPr>
        <w:t>100.00万元（全部来源于“纳入公共预算管理的非税收入拨款”）；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转移支付-死亡抚恤5.10万元（全部来源于“经费拨款”）；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转移支付-计划生育35.70万元（全部来源于“经费拨款”）；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转移支付-乡村道路10.00万元（全部来源于“纳入公共预算管理的非税收入拨款”）；</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rPr>
        <w:t>转移支付-村级管理10.40万元（全部来源于“经费拨款”）；</w:t>
      </w:r>
    </w:p>
    <w:p w:rsidR="00D52417" w:rsidRDefault="00D52417" w:rsidP="00D52417">
      <w:pPr>
        <w:pStyle w:val="a3"/>
        <w:shd w:val="clear" w:color="auto" w:fill="FFFFFF"/>
        <w:spacing w:before="120" w:beforeAutospacing="0" w:after="120" w:afterAutospacing="0" w:line="560" w:lineRule="atLeast"/>
        <w:ind w:left="642"/>
        <w:jc w:val="both"/>
        <w:rPr>
          <w:rFonts w:ascii="华文中宋" w:eastAsia="华文中宋" w:hAnsi="华文中宋"/>
          <w:caps/>
          <w:color w:val="000000"/>
        </w:rPr>
      </w:pPr>
      <w:r>
        <w:rPr>
          <w:rFonts w:ascii="仿宋" w:eastAsia="仿宋" w:hAnsi="仿宋" w:hint="eastAsia"/>
          <w:color w:val="000000"/>
          <w:sz w:val="32"/>
          <w:szCs w:val="32"/>
        </w:rPr>
        <w:t>2.专项资金（主要指财政资金）实际使用情况分析</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hint="eastAsia"/>
          <w:color w:val="000000"/>
          <w:sz w:val="21"/>
          <w:szCs w:val="21"/>
        </w:rPr>
      </w:pPr>
      <w:r>
        <w:rPr>
          <w:rFonts w:ascii="仿宋" w:eastAsia="仿宋" w:hAnsi="仿宋" w:cs="Calibri" w:hint="eastAsia"/>
          <w:color w:val="000000"/>
          <w:sz w:val="32"/>
          <w:szCs w:val="32"/>
        </w:rPr>
        <w:t>专项支出决算数为11712.42万元，主要用于以下方面：一般公共服务支出1894.46万元；国防支出3.63万元；公共安全支出17.50万元；教育支出73.57万元；科学技术支出35.45；文化旅游体育与传媒支出45.80万元；社会保障和就业支出1171.30万元；卫生健康支出43.83万元；节能环保支出494.74万元；城乡社区支出2984.32万元；农林水支出</w:t>
      </w:r>
      <w:r>
        <w:rPr>
          <w:rFonts w:ascii="仿宋" w:eastAsia="仿宋" w:hAnsi="仿宋" w:cs="Calibri" w:hint="eastAsia"/>
          <w:color w:val="000000"/>
          <w:sz w:val="32"/>
          <w:szCs w:val="32"/>
        </w:rPr>
        <w:lastRenderedPageBreak/>
        <w:t>2507.33万元；交通运输支出10.00万元；自然资源海洋气象等支出7.00万元；国有资本经营预算支出16.56；灾害防治及应急管理支出5.00万元；其他支出2401.93万元。</w:t>
      </w:r>
    </w:p>
    <w:p w:rsidR="00D52417" w:rsidRDefault="00D52417" w:rsidP="00D52417">
      <w:pPr>
        <w:pStyle w:val="a3"/>
        <w:shd w:val="clear" w:color="auto" w:fill="FFFFFF"/>
        <w:spacing w:before="0" w:beforeAutospacing="0" w:after="0" w:afterAutospacing="0" w:line="560" w:lineRule="atLeast"/>
        <w:ind w:firstLine="642"/>
        <w:jc w:val="both"/>
        <w:rPr>
          <w:rFonts w:ascii="Calibri" w:hAnsi="Calibri" w:cs="Calibri"/>
          <w:color w:val="000000"/>
          <w:sz w:val="21"/>
          <w:szCs w:val="21"/>
        </w:rPr>
      </w:pPr>
      <w:r>
        <w:rPr>
          <w:rFonts w:ascii="仿宋" w:eastAsia="仿宋" w:hAnsi="仿宋" w:cs="Calibri" w:hint="eastAsia"/>
          <w:color w:val="000000"/>
          <w:sz w:val="32"/>
          <w:szCs w:val="32"/>
        </w:rPr>
        <w:t>3.专项资金管理情况分析</w:t>
      </w:r>
    </w:p>
    <w:p w:rsidR="00D52417" w:rsidRDefault="00D52417" w:rsidP="00D52417">
      <w:pPr>
        <w:pStyle w:val="a3"/>
        <w:shd w:val="clear" w:color="auto" w:fill="FFFFFF"/>
        <w:spacing w:before="0" w:beforeAutospacing="0" w:after="0" w:afterAutospacing="0" w:line="560" w:lineRule="atLeast"/>
        <w:ind w:firstLine="640"/>
        <w:jc w:val="both"/>
        <w:rPr>
          <w:color w:val="000000"/>
        </w:rPr>
      </w:pPr>
      <w:r>
        <w:rPr>
          <w:rFonts w:ascii="仿宋" w:eastAsia="仿宋" w:hAnsi="仿宋" w:hint="eastAsia"/>
          <w:color w:val="000000"/>
          <w:sz w:val="32"/>
          <w:szCs w:val="32"/>
        </w:rPr>
        <w:t>专项资金实行“专人管理、专户储存、专账核算、专项使用”。专项资金实行报账制，资金拨付一律转账结算，杜绝现金支付。资金的拨付本着专款专用的原则，严格执行项目资金批准的使用计划和项目批复内容，不准擅自调项、扩项、缩项，更不准拆借、挪用、挤占和随意扣压；资金拨付动向，按不同专项资金的要求执行，不准任意改变；特殊情况，必须请示。严格专项资金初审、审核、审核制度，不准缺项和</w:t>
      </w:r>
      <w:proofErr w:type="gramStart"/>
      <w:r>
        <w:rPr>
          <w:rFonts w:ascii="仿宋" w:eastAsia="仿宋" w:hAnsi="仿宋" w:hint="eastAsia"/>
          <w:color w:val="000000"/>
          <w:sz w:val="32"/>
          <w:szCs w:val="32"/>
        </w:rPr>
        <w:t>越程序</w:t>
      </w:r>
      <w:proofErr w:type="gramEnd"/>
      <w:r>
        <w:rPr>
          <w:rFonts w:ascii="仿宋" w:eastAsia="仿宋" w:hAnsi="仿宋" w:hint="eastAsia"/>
          <w:color w:val="000000"/>
          <w:sz w:val="32"/>
          <w:szCs w:val="32"/>
        </w:rPr>
        <w:t>办理手续，各类专项资金审批程序，以该专项资金审批表所列内容和文件要求为准。对专项资金要定期或不定期进行督查，确保项目资金专款专用，要全程参与项目验收和采购项目接交。</w:t>
      </w:r>
    </w:p>
    <w:p w:rsidR="00D52417" w:rsidRDefault="00D52417" w:rsidP="00D52417">
      <w:pPr>
        <w:pStyle w:val="a3"/>
        <w:shd w:val="clear" w:color="auto" w:fill="FFFFFF"/>
        <w:spacing w:before="120" w:beforeAutospacing="0" w:after="120" w:afterAutospacing="0" w:line="560" w:lineRule="atLeast"/>
        <w:ind w:firstLine="643"/>
        <w:jc w:val="both"/>
        <w:rPr>
          <w:rFonts w:ascii="华文中宋" w:eastAsia="华文中宋" w:hAnsi="华文中宋" w:hint="eastAsia"/>
          <w:caps/>
          <w:color w:val="000000"/>
        </w:rPr>
      </w:pPr>
      <w:r>
        <w:rPr>
          <w:rFonts w:ascii="仿宋" w:eastAsia="仿宋" w:hAnsi="仿宋" w:hint="eastAsia"/>
          <w:caps/>
          <w:color w:val="000000"/>
          <w:sz w:val="32"/>
          <w:szCs w:val="32"/>
        </w:rPr>
        <w:t>三、单位专项组织实施情况</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hint="eastAsia"/>
          <w:color w:val="000000"/>
          <w:sz w:val="21"/>
          <w:szCs w:val="21"/>
        </w:rPr>
      </w:pPr>
      <w:r>
        <w:rPr>
          <w:rFonts w:ascii="楷体" w:eastAsia="楷体" w:hAnsi="楷体" w:cs="Calibri" w:hint="eastAsia"/>
          <w:color w:val="000000"/>
          <w:sz w:val="32"/>
          <w:szCs w:val="32"/>
        </w:rPr>
        <w:t>（一）专项组织情况分析</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shd w:val="clear" w:color="auto" w:fill="FFFFFF"/>
        </w:rPr>
        <w:t>专项组织情况方面。</w:t>
      </w:r>
      <w:r>
        <w:rPr>
          <w:rFonts w:ascii="仿宋" w:eastAsia="仿宋" w:hAnsi="仿宋" w:cs="Calibri" w:hint="eastAsia"/>
          <w:color w:val="000000"/>
          <w:sz w:val="32"/>
          <w:szCs w:val="32"/>
        </w:rPr>
        <w:t>我单位加强专项项目组织管理，严格落实财务管理制度。</w:t>
      </w:r>
      <w:r>
        <w:rPr>
          <w:rFonts w:ascii="Calibri" w:eastAsia="仿宋" w:hAnsi="Calibri" w:cs="Calibri"/>
          <w:color w:val="000000"/>
          <w:sz w:val="32"/>
          <w:szCs w:val="32"/>
        </w:rPr>
        <w:t> </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楷体" w:eastAsia="楷体" w:hAnsi="楷体" w:cs="Calibri" w:hint="eastAsia"/>
          <w:color w:val="000000"/>
          <w:sz w:val="32"/>
          <w:szCs w:val="32"/>
          <w:shd w:val="clear" w:color="auto" w:fill="FFFFFF"/>
        </w:rPr>
        <w:t>（二）专项资金管理情况分析</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shd w:val="clear" w:color="auto" w:fill="FFFFFF"/>
        </w:rPr>
        <w:lastRenderedPageBreak/>
        <w:t>专项管理情况方面。一</w:t>
      </w:r>
      <w:r>
        <w:rPr>
          <w:rFonts w:ascii="仿宋" w:eastAsia="仿宋" w:hAnsi="仿宋" w:cs="Calibri" w:hint="eastAsia"/>
          <w:color w:val="000000"/>
          <w:sz w:val="32"/>
          <w:szCs w:val="32"/>
        </w:rPr>
        <w:t>是严格执行项目预、结算审核制度。二是严格按照既定的项目实施方案，及时完善项目管理制度，认真开展财务决算工作，充分发挥资金的使用效益。</w:t>
      </w:r>
      <w:r>
        <w:rPr>
          <w:rFonts w:ascii="Calibri" w:eastAsia="仿宋" w:hAnsi="Calibri" w:cs="Calibri"/>
          <w:color w:val="000000"/>
          <w:sz w:val="36"/>
          <w:szCs w:val="36"/>
        </w:rPr>
        <w:t> </w:t>
      </w:r>
    </w:p>
    <w:p w:rsidR="00D52417" w:rsidRDefault="00D52417" w:rsidP="00D52417">
      <w:pPr>
        <w:pStyle w:val="a3"/>
        <w:shd w:val="clear" w:color="auto" w:fill="FFFFFF"/>
        <w:spacing w:before="120" w:beforeAutospacing="0" w:after="120" w:afterAutospacing="0" w:line="560" w:lineRule="atLeast"/>
        <w:ind w:firstLine="643"/>
        <w:jc w:val="both"/>
        <w:rPr>
          <w:rFonts w:ascii="华文中宋" w:eastAsia="华文中宋" w:hAnsi="华文中宋"/>
          <w:caps/>
          <w:color w:val="000000"/>
        </w:rPr>
      </w:pPr>
      <w:r>
        <w:rPr>
          <w:rFonts w:ascii="仿宋" w:eastAsia="仿宋" w:hAnsi="仿宋" w:hint="eastAsia"/>
          <w:caps/>
          <w:color w:val="000000"/>
          <w:sz w:val="32"/>
          <w:szCs w:val="32"/>
        </w:rPr>
        <w:t>四、存在的问题</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hint="eastAsia"/>
          <w:color w:val="000000"/>
          <w:sz w:val="21"/>
          <w:szCs w:val="21"/>
        </w:rPr>
      </w:pPr>
      <w:r>
        <w:rPr>
          <w:rFonts w:ascii="仿宋" w:eastAsia="仿宋" w:hAnsi="仿宋" w:cs="Calibri" w:hint="eastAsia"/>
          <w:color w:val="000000"/>
          <w:sz w:val="32"/>
          <w:szCs w:val="32"/>
          <w:shd w:val="clear" w:color="auto" w:fill="FFFFFF"/>
        </w:rPr>
        <w:t>财政收入规模单一，收入结构不合理，社会事业发展所需财政支出压力大，收支矛盾还比较突出，财政管理还不很规范，财经纪律还有待进一步加强。街道工作人员项目管理能力有限，专业水平较低，专业技术知识有待提高，管理经验不足。资金使用效益有待进一步提高，绩效目标设立不够明确、细化和量化，实际工作完成效益不高。上级主管部门指导作用发挥不够，各工作部门之间，缺乏有效沟通与配合，统一组织协调工作有待加强。</w:t>
      </w:r>
    </w:p>
    <w:p w:rsidR="00D52417" w:rsidRDefault="00D52417" w:rsidP="00D52417">
      <w:pPr>
        <w:pStyle w:val="a3"/>
        <w:shd w:val="clear" w:color="auto" w:fill="FFFFFF"/>
        <w:spacing w:before="120" w:beforeAutospacing="0" w:after="120" w:afterAutospacing="0" w:line="560" w:lineRule="atLeast"/>
        <w:ind w:firstLine="643"/>
        <w:jc w:val="both"/>
        <w:rPr>
          <w:rFonts w:ascii="华文中宋" w:eastAsia="华文中宋" w:hAnsi="华文中宋"/>
          <w:caps/>
          <w:color w:val="000000"/>
        </w:rPr>
      </w:pPr>
      <w:r>
        <w:rPr>
          <w:rFonts w:ascii="仿宋" w:eastAsia="仿宋" w:hAnsi="仿宋" w:hint="eastAsia"/>
          <w:caps/>
          <w:color w:val="000000"/>
          <w:sz w:val="32"/>
          <w:szCs w:val="32"/>
        </w:rPr>
        <w:t>五、改进措施及有关建议</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hint="eastAsia"/>
          <w:color w:val="000000"/>
          <w:sz w:val="21"/>
          <w:szCs w:val="21"/>
        </w:rPr>
      </w:pPr>
      <w:r>
        <w:rPr>
          <w:rFonts w:ascii="仿宋" w:eastAsia="仿宋" w:hAnsi="仿宋" w:cs="Calibri" w:hint="eastAsia"/>
          <w:color w:val="000000"/>
          <w:sz w:val="32"/>
          <w:szCs w:val="32"/>
          <w:shd w:val="clear" w:color="auto" w:fill="FFFFFF"/>
        </w:rPr>
        <w:t>1.加强预算管理，确保收支按预算执行，加强专项资金清理整合。</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shd w:val="clear" w:color="auto" w:fill="FFFFFF"/>
        </w:rPr>
        <w:t>2.充分发挥财政职能，支持地方经济发展。积极推行政务财务公开，不断改进服务方式,加强财政窗口建设。通过向上级争取资金，加大对农村公益事业投资力度，促进公益事业发展。</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shd w:val="clear" w:color="auto" w:fill="FFFFFF"/>
        </w:rPr>
        <w:t>3.全面实施绩效管理。推进绩效管理与预算管理紧密结合，实行预算编制、执行、监督全过程的绩效管理工作机制；</w:t>
      </w:r>
      <w:r>
        <w:rPr>
          <w:rFonts w:ascii="仿宋" w:eastAsia="仿宋" w:hAnsi="仿宋" w:cs="Calibri" w:hint="eastAsia"/>
          <w:color w:val="000000"/>
          <w:sz w:val="32"/>
          <w:szCs w:val="32"/>
          <w:shd w:val="clear" w:color="auto" w:fill="FFFFFF"/>
        </w:rPr>
        <w:lastRenderedPageBreak/>
        <w:t>强化预算支出主体责任，着力提升绩效目标质量；切实强化结果应用，将绩效目标审核结果作为年度安排预算的重要依据，切实提高财政资金使用绩效。</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shd w:val="clear" w:color="auto" w:fill="FFFFFF"/>
        </w:rPr>
        <w:t>4.加强财政监督，提高财政资金使用效益。规范单位财务管理和资金使用，规范会计核算，确保专款专用，主要对重点项目建设、社保、扶贫、涉农补贴资金等各类资金追踪管理与监管力度，规范了财政资金使用途径。</w:t>
      </w:r>
    </w:p>
    <w:p w:rsidR="00D52417" w:rsidRDefault="00D52417" w:rsidP="00D52417">
      <w:pPr>
        <w:pStyle w:val="a3"/>
        <w:shd w:val="clear" w:color="auto" w:fill="FFFFFF"/>
        <w:spacing w:before="0" w:beforeAutospacing="0" w:after="0" w:afterAutospacing="0" w:line="560" w:lineRule="atLeast"/>
        <w:ind w:firstLine="640"/>
        <w:jc w:val="both"/>
        <w:rPr>
          <w:rFonts w:ascii="Calibri" w:hAnsi="Calibri" w:cs="Calibri"/>
          <w:color w:val="000000"/>
          <w:sz w:val="21"/>
          <w:szCs w:val="21"/>
        </w:rPr>
      </w:pPr>
      <w:r>
        <w:rPr>
          <w:rFonts w:ascii="仿宋" w:eastAsia="仿宋" w:hAnsi="仿宋" w:cs="Calibri" w:hint="eastAsia"/>
          <w:color w:val="000000"/>
          <w:sz w:val="32"/>
          <w:szCs w:val="32"/>
          <w:shd w:val="clear" w:color="auto" w:fill="FFFFFF"/>
        </w:rPr>
        <w:t>5.提高自身素质，加强队伍建设。以法律法规、机关管理制度为准则，切实转变干部工作作风，加强政治业务学习，细化政务财务公开，建立健全各项内部管理制度。认真参与上级部门组织的业务培训，进一步规范会计基础工作，提高了财政管理水平。</w:t>
      </w:r>
    </w:p>
    <w:p w:rsidR="00D52417" w:rsidRDefault="00D52417" w:rsidP="00D52417">
      <w:pPr>
        <w:pStyle w:val="a3"/>
        <w:shd w:val="clear" w:color="auto" w:fill="FFFFFF"/>
        <w:spacing w:beforeAutospacing="0" w:after="0" w:afterAutospacing="0" w:line="560" w:lineRule="atLeast"/>
        <w:ind w:firstLine="720"/>
        <w:jc w:val="both"/>
        <w:rPr>
          <w:rFonts w:ascii="Calibri" w:hAnsi="Calibri" w:cs="Calibri"/>
          <w:color w:val="000000"/>
          <w:sz w:val="21"/>
          <w:szCs w:val="21"/>
        </w:rPr>
      </w:pPr>
      <w:r>
        <w:rPr>
          <w:rFonts w:ascii="Calibri" w:eastAsia="仿宋" w:hAnsi="Calibri" w:cs="Calibri"/>
          <w:color w:val="000000"/>
          <w:sz w:val="36"/>
          <w:szCs w:val="36"/>
        </w:rPr>
        <w:t>                   </w:t>
      </w:r>
    </w:p>
    <w:p w:rsidR="00D52417" w:rsidRDefault="00D52417" w:rsidP="00D52417">
      <w:pPr>
        <w:pStyle w:val="a3"/>
        <w:shd w:val="clear" w:color="auto" w:fill="FFFFFF"/>
        <w:spacing w:before="0" w:beforeAutospacing="0" w:after="0" w:afterAutospacing="0" w:line="560" w:lineRule="atLeast"/>
        <w:ind w:firstLine="640"/>
        <w:jc w:val="right"/>
        <w:rPr>
          <w:rFonts w:ascii="Calibri" w:hAnsi="Calibri" w:cs="Calibri"/>
          <w:color w:val="000000"/>
          <w:sz w:val="21"/>
          <w:szCs w:val="21"/>
        </w:rPr>
      </w:pPr>
      <w:r>
        <w:rPr>
          <w:rFonts w:ascii="Calibri" w:eastAsia="仿宋" w:hAnsi="Calibri" w:cs="Calibri"/>
          <w:color w:val="000000"/>
          <w:sz w:val="32"/>
          <w:szCs w:val="32"/>
          <w:shd w:val="clear" w:color="auto" w:fill="FFFFFF"/>
        </w:rPr>
        <w:t>                       </w:t>
      </w:r>
      <w:proofErr w:type="gramStart"/>
      <w:r>
        <w:rPr>
          <w:rFonts w:ascii="仿宋" w:eastAsia="仿宋" w:hAnsi="仿宋" w:cs="Calibri" w:hint="eastAsia"/>
          <w:color w:val="000000"/>
          <w:sz w:val="32"/>
          <w:szCs w:val="32"/>
          <w:shd w:val="clear" w:color="auto" w:fill="FFFFFF"/>
        </w:rPr>
        <w:t>沅江市琼湖</w:t>
      </w:r>
      <w:proofErr w:type="gramEnd"/>
      <w:r>
        <w:rPr>
          <w:rFonts w:ascii="仿宋" w:eastAsia="仿宋" w:hAnsi="仿宋" w:cs="Calibri" w:hint="eastAsia"/>
          <w:color w:val="000000"/>
          <w:sz w:val="32"/>
          <w:szCs w:val="32"/>
          <w:shd w:val="clear" w:color="auto" w:fill="FFFFFF"/>
        </w:rPr>
        <w:t>街道办事处</w:t>
      </w:r>
    </w:p>
    <w:p w:rsidR="00D52417" w:rsidRDefault="00D52417" w:rsidP="00D52417">
      <w:pPr>
        <w:pStyle w:val="a3"/>
        <w:shd w:val="clear" w:color="auto" w:fill="FFFFFF"/>
        <w:spacing w:before="0" w:beforeAutospacing="0" w:after="0" w:afterAutospacing="0" w:line="560" w:lineRule="atLeast"/>
        <w:ind w:firstLine="640"/>
        <w:jc w:val="right"/>
        <w:rPr>
          <w:rFonts w:ascii="Calibri" w:hAnsi="Calibri" w:cs="Calibri"/>
          <w:color w:val="000000"/>
          <w:sz w:val="21"/>
          <w:szCs w:val="21"/>
        </w:rPr>
      </w:pPr>
      <w:r>
        <w:rPr>
          <w:rFonts w:ascii="Calibri" w:eastAsia="仿宋" w:hAnsi="Calibri" w:cs="Calibri"/>
          <w:color w:val="000000"/>
          <w:sz w:val="32"/>
          <w:szCs w:val="32"/>
          <w:shd w:val="clear" w:color="auto" w:fill="FFFFFF"/>
        </w:rPr>
        <w:t>                         </w:t>
      </w:r>
      <w:r>
        <w:rPr>
          <w:rFonts w:ascii="仿宋" w:eastAsia="仿宋" w:hAnsi="仿宋" w:cs="Calibri" w:hint="eastAsia"/>
          <w:color w:val="000000"/>
          <w:sz w:val="32"/>
          <w:szCs w:val="32"/>
          <w:shd w:val="clear" w:color="auto" w:fill="FFFFFF"/>
        </w:rPr>
        <w:t>2022年7月25日</w:t>
      </w:r>
    </w:p>
    <w:p w:rsidR="007A483C" w:rsidRPr="00D52417" w:rsidRDefault="007A483C" w:rsidP="00D52417"/>
    <w:sectPr w:rsidR="007A483C" w:rsidRPr="00D524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altName w:val="STZhongsong"/>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17"/>
    <w:rsid w:val="007A483C"/>
    <w:rsid w:val="00D52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D1655-2F92-4E29-AFA6-BE8448F10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5241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52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7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794</Words>
  <Characters>4529</Characters>
  <Application>Microsoft Office Word</Application>
  <DocSecurity>0</DocSecurity>
  <Lines>37</Lines>
  <Paragraphs>10</Paragraphs>
  <ScaleCrop>false</ScaleCrop>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 靖瑜</dc:creator>
  <cp:keywords/>
  <dc:description/>
  <cp:lastModifiedBy>郭 靖瑜</cp:lastModifiedBy>
  <cp:revision>1</cp:revision>
  <dcterms:created xsi:type="dcterms:W3CDTF">2023-05-23T07:18:00Z</dcterms:created>
  <dcterms:modified xsi:type="dcterms:W3CDTF">2023-05-23T07:20:00Z</dcterms:modified>
</cp:coreProperties>
</file>