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ascii="华文中宋" w:hAnsi="华文中宋"/>
          <w:b/>
          <w:sz w:val="36"/>
          <w:szCs w:val="36"/>
        </w:rPr>
      </w:pPr>
      <w:r>
        <w:rPr>
          <w:rFonts w:hint="eastAsia" w:ascii="华文中宋" w:hAnsi="华文中宋"/>
          <w:b/>
          <w:sz w:val="36"/>
          <w:szCs w:val="36"/>
        </w:rPr>
        <w:t>沅江市住房保障服务中心</w:t>
      </w:r>
      <w:r>
        <w:rPr>
          <w:rFonts w:ascii="华文中宋" w:hAnsi="华文中宋"/>
          <w:b/>
          <w:sz w:val="36"/>
          <w:szCs w:val="36"/>
        </w:rPr>
        <w:t>2021年度</w:t>
      </w:r>
    </w:p>
    <w:p>
      <w:pPr>
        <w:snapToGrid w:val="0"/>
        <w:jc w:val="center"/>
        <w:rPr>
          <w:rFonts w:ascii="华文中宋" w:hAnsi="华文中宋"/>
          <w:b/>
          <w:sz w:val="36"/>
          <w:szCs w:val="36"/>
        </w:rPr>
      </w:pPr>
      <w:r>
        <w:rPr>
          <w:rFonts w:ascii="华文中宋" w:hAnsi="华文中宋"/>
          <w:b/>
          <w:sz w:val="36"/>
          <w:szCs w:val="36"/>
        </w:rPr>
        <w:t>部门决算分析报告</w:t>
      </w:r>
    </w:p>
    <w:p>
      <w:pPr>
        <w:snapToGrid w:val="0"/>
        <w:ind w:firstLine="640" w:firstLineChars="200"/>
        <w:rPr>
          <w:rFonts w:ascii="仿宋_GB2312" w:hAnsi="仿宋" w:eastAsia="仿宋_GB2312"/>
          <w:sz w:val="32"/>
          <w:szCs w:val="32"/>
        </w:rPr>
      </w:pP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一、单位情况</w:t>
      </w:r>
    </w:p>
    <w:p>
      <w:pPr>
        <w:snapToGrid w:val="0"/>
        <w:spacing w:line="520" w:lineRule="exact"/>
        <w:ind w:firstLine="643" w:firstLineChars="200"/>
        <w:rPr>
          <w:rFonts w:hint="eastAsia" w:ascii="楷体_GB2312" w:hAnsi="仿宋"/>
          <w:b/>
          <w:sz w:val="32"/>
          <w:szCs w:val="32"/>
        </w:rPr>
      </w:pPr>
      <w:r>
        <w:rPr>
          <w:rFonts w:ascii="楷体_GB2312" w:hAnsi="楷体_GB2312"/>
          <w:b/>
          <w:sz w:val="32"/>
          <w:szCs w:val="32"/>
        </w:rPr>
        <w:t>（一）基本情况。</w:t>
      </w:r>
    </w:p>
    <w:p>
      <w:pPr>
        <w:autoSpaceDE w:val="0"/>
        <w:autoSpaceDN w:val="0"/>
        <w:adjustRightInd w:val="0"/>
        <w:spacing w:line="520" w:lineRule="exact"/>
        <w:ind w:firstLine="643"/>
        <w:rPr>
          <w:rFonts w:hint="eastAsia" w:eastAsiaTheme="minorEastAsia"/>
          <w:b/>
          <w:sz w:val="32"/>
          <w:szCs w:val="32"/>
        </w:rPr>
      </w:pPr>
      <w:r>
        <w:rPr>
          <w:rFonts w:hint="eastAsia" w:ascii="仿宋_GB2312" w:hAnsi="仿宋" w:eastAsia="仿宋_GB2312"/>
          <w:sz w:val="32"/>
          <w:szCs w:val="32"/>
        </w:rPr>
        <w:t>1．主要职能。</w:t>
      </w:r>
    </w:p>
    <w:p>
      <w:pPr>
        <w:autoSpaceDE w:val="0"/>
        <w:autoSpaceDN w:val="0"/>
        <w:adjustRightInd w:val="0"/>
        <w:spacing w:line="520" w:lineRule="exact"/>
        <w:ind w:firstLine="640"/>
        <w:rPr>
          <w:rFonts w:ascii="仿宋" w:hAnsi="仿宋" w:eastAsia="仿宋"/>
          <w:sz w:val="32"/>
          <w:szCs w:val="32"/>
        </w:rPr>
      </w:pPr>
      <w:r>
        <w:rPr>
          <w:rFonts w:hint="eastAsia" w:ascii="仿宋_GB2312" w:eastAsia="仿宋_GB2312"/>
          <w:sz w:val="32"/>
          <w:szCs w:val="32"/>
        </w:rPr>
        <w:t>（</w:t>
      </w:r>
      <w:r>
        <w:rPr>
          <w:rFonts w:hint="eastAsia" w:ascii="仿宋" w:hAnsi="仿宋" w:eastAsia="仿宋"/>
          <w:sz w:val="32"/>
          <w:szCs w:val="32"/>
        </w:rPr>
        <w:t>一）拟定全市保障性住房、城市棚户区（含城中村）改造年度计划和中期计划；拟定城区老旧小区配套基础设施申报改造计划并负责实施。</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（二）负责全市公共租赁住房的建设、储备、分配和后续运营管理等工作；负责市国有直管公房的管理、经营、租赁、维护改造工作。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（三）负责全市公共租赁住房保障对象审核登记、动态管理和租赁补贴对象的审核和发放等工作。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（四）负责全市公共租赁住房信息平台建设、信息发布，公共租赁房对象档案建立、管理和查阅工作。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（五）负责全市公共租赁住房保障对象住房租金的收取、存储，使用等工作。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（六）负责全市公共租赁住房及共用部位、共用设施设备维修方案的拟定并组织实施。</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（七）负责市政府投资建设的公共租赁住房产权产籍管理。</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（八）负责市政府下达的市行政区域内城市棚户区改造工作。</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（九）完成市委、市政府和市住房和城乡建设局交办的其他任务。</w:t>
      </w:r>
    </w:p>
    <w:p>
      <w:pPr>
        <w:autoSpaceDE w:val="0"/>
        <w:snapToGrid w:val="0"/>
        <w:spacing w:line="520" w:lineRule="exact"/>
        <w:ind w:firstLine="640"/>
        <w:rPr>
          <w:rFonts w:hint="eastAsia" w:ascii="仿宋" w:hAnsi="仿宋" w:eastAsia="仿宋"/>
          <w:sz w:val="32"/>
          <w:szCs w:val="32"/>
        </w:rPr>
      </w:pPr>
      <w:r>
        <w:rPr>
          <w:rFonts w:hint="eastAsia" w:ascii="仿宋_GB2312" w:hAnsi="仿宋" w:eastAsia="仿宋_GB2312"/>
          <w:sz w:val="32"/>
          <w:szCs w:val="32"/>
        </w:rPr>
        <w:t>2．机构情况，包括当年变动情况及原因。</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住房保障服务中心内设机构为6个，均为政股级。包括：办公室、组织人事股、计划财务股、政策法规股、运营服务股、计划项目股。机关下设15个二级机构，均为政股级。包括：直管公房租赁股（全额拨款）、庆云山住房保障服务所、山巷口住房保障服务所、草尾住房保障服务所、黄茅洲住房保障服务所、南大膳住房保障服务所、胭脂湖住房保障服务所、阳罗洲住房保障服务所、赤山住房保障服务所、共双茶院住房保障服务所、团山住房保障服务所、凌云塔住房保障服务所、高新区住房保障服务所、城镇片区改造事务中心、市国有土地上房屋征收与补偿办公室。因机构改革的需要，我中心所有行政职能职责已全部划走，沅编发[2020]33号文件通知精神拟定了新的三定方案</w:t>
      </w:r>
    </w:p>
    <w:p>
      <w:pPr>
        <w:autoSpaceDE w:val="0"/>
        <w:snapToGrid w:val="0"/>
        <w:spacing w:line="520" w:lineRule="exact"/>
        <w:ind w:firstLine="640"/>
        <w:rPr>
          <w:rFonts w:hint="eastAsia" w:ascii="仿宋" w:hAnsi="仿宋" w:eastAsia="仿宋"/>
          <w:sz w:val="32"/>
          <w:szCs w:val="32"/>
        </w:rPr>
      </w:pPr>
      <w:r>
        <w:rPr>
          <w:rFonts w:hint="eastAsia" w:ascii="仿宋_GB2312" w:hAnsi="仿宋" w:eastAsia="仿宋_GB2312"/>
          <w:sz w:val="32"/>
          <w:szCs w:val="32"/>
        </w:rPr>
        <w:t>3．人员情况，包括当年变动情况及原因。</w:t>
      </w:r>
    </w:p>
    <w:p>
      <w:pPr>
        <w:autoSpaceDE w:val="0"/>
        <w:autoSpaceDN w:val="0"/>
        <w:adjustRightInd w:val="0"/>
        <w:spacing w:line="520" w:lineRule="exact"/>
        <w:ind w:firstLine="640"/>
        <w:rPr>
          <w:rFonts w:hint="eastAsia" w:ascii="仿宋" w:hAnsi="仿宋" w:eastAsia="仿宋"/>
          <w:sz w:val="32"/>
          <w:szCs w:val="32"/>
        </w:rPr>
      </w:pPr>
      <w:r>
        <w:rPr>
          <w:rFonts w:hint="eastAsia" w:ascii="仿宋" w:hAnsi="仿宋" w:eastAsia="仿宋"/>
          <w:sz w:val="32"/>
          <w:szCs w:val="32"/>
        </w:rPr>
        <w:t>2021年认定人数为303人，其中：在职</w:t>
      </w:r>
    </w:p>
    <w:p>
      <w:pPr>
        <w:rPr>
          <w:rFonts w:hint="eastAsia"/>
        </w:rPr>
      </w:pPr>
      <w:r>
        <w:rPr>
          <w:rFonts w:hint="eastAsia" w:ascii="仿宋" w:hAnsi="仿宋" w:eastAsia="仿宋"/>
          <w:sz w:val="32"/>
          <w:szCs w:val="32"/>
        </w:rPr>
        <w:t>在编事业编174人（其中城镇退伍17人）、退休129人。2020年认定数为305人，其中：在职机关编10人、事业编156人、城镇退伍17人、退休122人。原因：自然减员2人。</w:t>
      </w:r>
    </w:p>
    <w:p>
      <w:pPr>
        <w:pStyle w:val="4"/>
        <w:numPr>
          <w:ilvl w:val="0"/>
          <w:numId w:val="1"/>
        </w:numPr>
        <w:snapToGrid w:val="0"/>
        <w:spacing w:line="520" w:lineRule="exact"/>
        <w:ind w:firstLineChars="0"/>
        <w:rPr>
          <w:rFonts w:ascii="楷体_GB2312" w:hAnsi="仿宋"/>
          <w:b/>
          <w:sz w:val="32"/>
          <w:szCs w:val="32"/>
        </w:rPr>
      </w:pPr>
      <w:r>
        <w:rPr>
          <w:rFonts w:ascii="楷体_GB2312" w:hAnsi="楷体_GB2312"/>
          <w:b/>
          <w:sz w:val="32"/>
          <w:szCs w:val="32"/>
        </w:rPr>
        <w:t>当年取得的主要事业成效。</w:t>
      </w:r>
    </w:p>
    <w:p>
      <w:pPr>
        <w:spacing w:line="600" w:lineRule="exact"/>
        <w:ind w:firstLine="315" w:firstLineChars="98"/>
        <w:rPr>
          <w:rFonts w:hint="eastAsia" w:ascii="仿宋_GB2312" w:hAnsi="宋体" w:eastAsia="仿宋_GB2312"/>
          <w:b/>
          <w:sz w:val="32"/>
          <w:szCs w:val="32"/>
        </w:rPr>
      </w:pPr>
      <w:r>
        <w:rPr>
          <w:rFonts w:hint="eastAsia" w:ascii="仿宋_GB2312" w:hAnsi="宋体" w:eastAsia="仿宋_GB2312"/>
          <w:b/>
          <w:sz w:val="32"/>
          <w:szCs w:val="32"/>
        </w:rPr>
        <w:t>1、大力推进棚户区改造项目</w:t>
      </w:r>
    </w:p>
    <w:p>
      <w:pPr>
        <w:spacing w:line="600" w:lineRule="exact"/>
        <w:ind w:firstLine="643" w:firstLineChars="200"/>
        <w:rPr>
          <w:rFonts w:hint="eastAsia" w:ascii="仿宋_GB2312" w:eastAsia="仿宋_GB2312"/>
          <w:b/>
          <w:sz w:val="32"/>
          <w:szCs w:val="32"/>
        </w:rPr>
      </w:pPr>
      <w:r>
        <w:rPr>
          <w:rFonts w:hint="eastAsia" w:ascii="仿宋_GB2312" w:hAnsi="宋体" w:eastAsia="仿宋_GB2312"/>
          <w:b/>
          <w:sz w:val="32"/>
          <w:szCs w:val="32"/>
        </w:rPr>
        <w:t xml:space="preserve"> </w:t>
      </w:r>
      <w:r>
        <w:rPr>
          <w:rFonts w:hint="eastAsia" w:ascii="仿宋_GB2312" w:hAnsi="宋体" w:eastAsia="仿宋_GB2312"/>
          <w:sz w:val="32"/>
          <w:szCs w:val="32"/>
        </w:rPr>
        <w:t>全面实施了</w:t>
      </w:r>
      <w:r>
        <w:rPr>
          <w:rFonts w:hint="eastAsia" w:ascii="仿宋_GB2312" w:eastAsia="仿宋_GB2312"/>
          <w:sz w:val="32"/>
          <w:szCs w:val="32"/>
        </w:rPr>
        <w:t>2021</w:t>
      </w:r>
      <w:r>
        <w:rPr>
          <w:rFonts w:hint="eastAsia" w:ascii="仿宋_GB2312" w:hAnsi="宋体" w:eastAsia="仿宋_GB2312"/>
          <w:sz w:val="32"/>
          <w:szCs w:val="32"/>
        </w:rPr>
        <w:t>年省住建厅下达的八项目计划指标，总投资</w:t>
      </w:r>
      <w:r>
        <w:rPr>
          <w:rFonts w:hint="eastAsia" w:ascii="仿宋_GB2312" w:eastAsia="仿宋_GB2312"/>
          <w:sz w:val="32"/>
          <w:szCs w:val="32"/>
        </w:rPr>
        <w:t>2.6</w:t>
      </w:r>
      <w:r>
        <w:rPr>
          <w:rFonts w:hint="eastAsia" w:ascii="仿宋_GB2312" w:hAnsi="宋体" w:eastAsia="仿宋_GB2312"/>
          <w:sz w:val="32"/>
          <w:szCs w:val="32"/>
        </w:rPr>
        <w:t>亿元，改造户数</w:t>
      </w:r>
      <w:r>
        <w:rPr>
          <w:rFonts w:hint="eastAsia" w:ascii="仿宋_GB2312" w:eastAsia="仿宋_GB2312"/>
          <w:sz w:val="32"/>
          <w:szCs w:val="32"/>
        </w:rPr>
        <w:t>785</w:t>
      </w:r>
      <w:r>
        <w:rPr>
          <w:rFonts w:hint="eastAsia" w:ascii="仿宋_GB2312" w:hAnsi="宋体" w:eastAsia="仿宋_GB2312"/>
          <w:sz w:val="32"/>
          <w:szCs w:val="32"/>
        </w:rPr>
        <w:t>户，其中货币安置</w:t>
      </w:r>
      <w:r>
        <w:rPr>
          <w:rFonts w:hint="eastAsia" w:ascii="仿宋_GB2312" w:eastAsia="仿宋_GB2312"/>
          <w:sz w:val="32"/>
          <w:szCs w:val="32"/>
        </w:rPr>
        <w:t>266</w:t>
      </w:r>
      <w:r>
        <w:rPr>
          <w:rFonts w:hint="eastAsia" w:ascii="仿宋_GB2312" w:hAnsi="宋体" w:eastAsia="仿宋_GB2312"/>
          <w:sz w:val="32"/>
          <w:szCs w:val="32"/>
        </w:rPr>
        <w:t>户，新建安置房</w:t>
      </w:r>
      <w:r>
        <w:rPr>
          <w:rFonts w:hint="eastAsia" w:ascii="仿宋_GB2312" w:eastAsia="仿宋_GB2312"/>
          <w:sz w:val="32"/>
          <w:szCs w:val="32"/>
        </w:rPr>
        <w:t>307</w:t>
      </w:r>
      <w:r>
        <w:rPr>
          <w:rFonts w:hint="eastAsia" w:ascii="仿宋_GB2312" w:hAnsi="宋体" w:eastAsia="仿宋_GB2312"/>
          <w:sz w:val="32"/>
          <w:szCs w:val="32"/>
        </w:rPr>
        <w:t>套，改（扩）翻建</w:t>
      </w:r>
      <w:r>
        <w:rPr>
          <w:rFonts w:hint="eastAsia" w:ascii="仿宋_GB2312" w:eastAsia="仿宋_GB2312"/>
          <w:sz w:val="32"/>
          <w:szCs w:val="32"/>
        </w:rPr>
        <w:t>212</w:t>
      </w:r>
      <w:r>
        <w:rPr>
          <w:rFonts w:hint="eastAsia" w:ascii="仿宋_GB2312" w:hAnsi="宋体" w:eastAsia="仿宋_GB2312"/>
          <w:sz w:val="32"/>
          <w:szCs w:val="32"/>
        </w:rPr>
        <w:t>套。</w:t>
      </w:r>
      <w:r>
        <w:rPr>
          <w:rFonts w:hint="eastAsia" w:ascii="仿宋_GB2312" w:hAnsi="仿宋" w:eastAsia="仿宋_GB2312" w:cs="仿宋_GB2312"/>
          <w:b/>
          <w:bCs/>
          <w:kern w:val="0"/>
          <w:sz w:val="32"/>
          <w:szCs w:val="32"/>
        </w:rPr>
        <w:t>棚户区改造主要思路</w:t>
      </w:r>
      <w:r>
        <w:rPr>
          <w:rFonts w:hint="eastAsia" w:ascii="仿宋_GB2312" w:hAnsi="仿宋" w:eastAsia="仿宋_GB2312" w:cs="仿宋_GB2312"/>
          <w:kern w:val="0"/>
          <w:sz w:val="32"/>
          <w:szCs w:val="32"/>
        </w:rPr>
        <w:t>：</w:t>
      </w:r>
      <w:r>
        <w:rPr>
          <w:rFonts w:hint="eastAsia" w:ascii="仿宋_GB2312" w:hAnsi="宋体" w:eastAsia="仿宋_GB2312"/>
          <w:sz w:val="32"/>
          <w:szCs w:val="32"/>
        </w:rPr>
        <w:t>根据市委、市政府实施棚户区片区改造的要求，针对杨泗桥、景星寺等片区进行了顶层设计、战略定位，以棚改为抓手，结合老旧小区改造、市政基础设施同步实施的思路，以拆与留合理布局、改与建相结合，规划先行、科学布局，以地价为调控点自求平衡，推动城市更新的指导思想，目前已完成</w:t>
      </w:r>
      <w:r>
        <w:rPr>
          <w:rFonts w:hint="eastAsia" w:ascii="仿宋_GB2312" w:eastAsia="仿宋_GB2312"/>
          <w:sz w:val="32"/>
          <w:szCs w:val="32"/>
        </w:rPr>
        <w:t>5</w:t>
      </w:r>
      <w:r>
        <w:rPr>
          <w:rFonts w:hint="eastAsia" w:ascii="仿宋_GB2312" w:hAnsi="宋体" w:eastAsia="仿宋_GB2312"/>
          <w:sz w:val="32"/>
          <w:szCs w:val="32"/>
        </w:rPr>
        <w:t>个片区的房屋拆迁、土地地价测算、民意调查及概念规划，现已引进新兴集团对杨泗桥片区洽谈，现正在拟定合作协议的具体事项。</w:t>
      </w:r>
      <w:r>
        <w:rPr>
          <w:rFonts w:hint="eastAsia" w:ascii="仿宋_GB2312" w:hAnsi="宋体" w:eastAsia="仿宋_GB2312"/>
          <w:b/>
          <w:bCs/>
          <w:sz w:val="32"/>
          <w:szCs w:val="32"/>
        </w:rPr>
        <w:t>棚户区改造亮点工作：</w:t>
      </w:r>
      <w:r>
        <w:rPr>
          <w:rFonts w:hint="eastAsia" w:ascii="仿宋_GB2312" w:hAnsi="楷体" w:eastAsia="仿宋_GB2312" w:cs="仿宋_GB2312"/>
          <w:b/>
          <w:kern w:val="0"/>
          <w:sz w:val="32"/>
          <w:szCs w:val="32"/>
        </w:rPr>
        <w:t>一是庆云山路棚户区改造。</w:t>
      </w:r>
      <w:r>
        <w:rPr>
          <w:rFonts w:hint="eastAsia" w:ascii="仿宋_GB2312" w:hAnsi="仿宋" w:eastAsia="仿宋_GB2312" w:cs="仿宋_GB2312"/>
          <w:kern w:val="0"/>
          <w:sz w:val="32"/>
          <w:szCs w:val="32"/>
        </w:rPr>
        <w:t>目前已做房屋现场踏勘，制定了改扩翻建计划，做好了规划图纸设计、施工线路安全、费用预算、财评送审等工作，已走完招投标程序，现正在施工。</w:t>
      </w:r>
      <w:r>
        <w:rPr>
          <w:rFonts w:hint="eastAsia" w:ascii="仿宋_GB2312" w:hAnsi="楷体" w:eastAsia="仿宋_GB2312" w:cs="仿宋_GB2312"/>
          <w:b/>
          <w:kern w:val="0"/>
          <w:sz w:val="32"/>
          <w:szCs w:val="32"/>
        </w:rPr>
        <w:t>二是杨泗桥片区棚户区改造。</w:t>
      </w:r>
      <w:r>
        <w:rPr>
          <w:rFonts w:hint="eastAsia" w:ascii="仿宋_GB2312" w:hAnsi="仿宋" w:eastAsia="仿宋_GB2312" w:cs="仿宋_GB2312"/>
          <w:kern w:val="0"/>
          <w:sz w:val="32"/>
          <w:szCs w:val="32"/>
        </w:rPr>
        <w:t>项目经过多次与中国新兴建设股份有限责任公司代表洽谈协商，目前双方进入合作合同细节条款讨论阶段。12月1日，夏市长召集各有关部门召开杨泗桥片区棚改项目合作合同条款协商会，会上各部门结合自身职责对合同条款提出了修改或补充意见，进一步完善合作合同书。</w:t>
      </w:r>
    </w:p>
    <w:p>
      <w:pPr>
        <w:numPr>
          <w:ilvl w:val="0"/>
          <w:numId w:val="2"/>
        </w:numPr>
        <w:spacing w:line="600" w:lineRule="exact"/>
        <w:ind w:firstLine="321" w:firstLineChars="100"/>
        <w:rPr>
          <w:rFonts w:hint="eastAsia" w:ascii="仿宋_GB2312" w:eastAsia="仿宋_GB2312"/>
          <w:b/>
          <w:sz w:val="32"/>
          <w:szCs w:val="32"/>
        </w:rPr>
      </w:pPr>
      <w:r>
        <w:rPr>
          <w:rFonts w:hint="eastAsia" w:ascii="仿宋_GB2312" w:hAnsi="宋体" w:eastAsia="仿宋_GB2312"/>
          <w:b/>
          <w:sz w:val="32"/>
          <w:szCs w:val="32"/>
        </w:rPr>
        <w:t>住房租赁补贴发放工资</w:t>
      </w:r>
    </w:p>
    <w:p>
      <w:pPr>
        <w:spacing w:line="600" w:lineRule="exact"/>
        <w:ind w:firstLine="643" w:firstLineChars="200"/>
        <w:rPr>
          <w:rFonts w:hint="eastAsia" w:ascii="仿宋_GB2312" w:eastAsia="仿宋_GB2312"/>
          <w:b/>
          <w:sz w:val="32"/>
          <w:szCs w:val="32"/>
        </w:rPr>
      </w:pPr>
      <w:r>
        <w:rPr>
          <w:rFonts w:hint="eastAsia" w:ascii="仿宋_GB2312" w:hAnsi="宋体" w:eastAsia="仿宋_GB2312"/>
          <w:b/>
          <w:sz w:val="32"/>
          <w:szCs w:val="32"/>
        </w:rPr>
        <w:t xml:space="preserve"> </w:t>
      </w:r>
      <w:r>
        <w:rPr>
          <w:rFonts w:hint="eastAsia" w:ascii="仿宋_GB2312" w:hAnsi="宋体" w:eastAsia="仿宋_GB2312"/>
          <w:sz w:val="32"/>
          <w:szCs w:val="32"/>
        </w:rPr>
        <w:t>为解决住房困难群众的实际情况，提高人民的幸福指数，对租赁补贴进行提高标准、扩大补贴范围、建立动态管理，做到应保尽保，通过准确核实，为公交、环卫、上岸渔民、乡镇等</w:t>
      </w:r>
      <w:r>
        <w:rPr>
          <w:rFonts w:hint="eastAsia" w:ascii="仿宋_GB2312" w:eastAsia="仿宋_GB2312"/>
          <w:sz w:val="32"/>
          <w:szCs w:val="32"/>
        </w:rPr>
        <w:t>700</w:t>
      </w:r>
      <w:r>
        <w:rPr>
          <w:rFonts w:hint="eastAsia" w:ascii="仿宋_GB2312" w:hAnsi="宋体" w:eastAsia="仿宋_GB2312"/>
          <w:sz w:val="32"/>
          <w:szCs w:val="32"/>
        </w:rPr>
        <w:t>多户群众发放了住房租赁补贴，全年发放租赁补贴</w:t>
      </w:r>
      <w:r>
        <w:rPr>
          <w:rFonts w:hint="eastAsia" w:ascii="仿宋_GB2312" w:eastAsia="仿宋_GB2312"/>
          <w:sz w:val="32"/>
          <w:szCs w:val="32"/>
        </w:rPr>
        <w:t>1578</w:t>
      </w:r>
      <w:r>
        <w:rPr>
          <w:rFonts w:hint="eastAsia" w:ascii="仿宋_GB2312" w:hAnsi="宋体" w:eastAsia="仿宋_GB2312"/>
          <w:sz w:val="32"/>
          <w:szCs w:val="32"/>
        </w:rPr>
        <w:t>户，金额</w:t>
      </w:r>
      <w:r>
        <w:rPr>
          <w:rFonts w:hint="eastAsia" w:ascii="仿宋_GB2312" w:eastAsia="仿宋_GB2312"/>
          <w:sz w:val="32"/>
          <w:szCs w:val="32"/>
        </w:rPr>
        <w:t>150</w:t>
      </w:r>
      <w:r>
        <w:rPr>
          <w:rFonts w:hint="eastAsia" w:ascii="仿宋_GB2312" w:hAnsi="宋体" w:eastAsia="仿宋_GB2312"/>
          <w:sz w:val="32"/>
          <w:szCs w:val="32"/>
        </w:rPr>
        <w:t>余万元，</w:t>
      </w:r>
      <w:r>
        <w:rPr>
          <w:rFonts w:hint="eastAsia" w:ascii="仿宋_GB2312" w:hAnsi="仿宋" w:eastAsia="仿宋_GB2312"/>
          <w:sz w:val="32"/>
          <w:szCs w:val="32"/>
        </w:rPr>
        <w:t>提高了补贴标准、扩大了补贴范围，做到应保尽保。</w:t>
      </w:r>
    </w:p>
    <w:p>
      <w:pPr>
        <w:numPr>
          <w:ilvl w:val="0"/>
          <w:numId w:val="2"/>
        </w:numPr>
        <w:spacing w:line="600" w:lineRule="exact"/>
        <w:ind w:firstLine="321" w:firstLineChars="100"/>
        <w:rPr>
          <w:rFonts w:hint="eastAsia" w:ascii="仿宋_GB2312" w:eastAsia="仿宋_GB2312"/>
          <w:b/>
          <w:sz w:val="32"/>
          <w:szCs w:val="32"/>
        </w:rPr>
      </w:pPr>
      <w:r>
        <w:rPr>
          <w:rFonts w:hint="eastAsia" w:ascii="仿宋_GB2312" w:hAnsi="宋体" w:eastAsia="仿宋_GB2312"/>
          <w:b/>
          <w:sz w:val="32"/>
          <w:szCs w:val="32"/>
        </w:rPr>
        <w:t>抓好巡视整改，建章立制</w:t>
      </w:r>
    </w:p>
    <w:p>
      <w:pPr>
        <w:snapToGrid w:val="0"/>
        <w:spacing w:line="520" w:lineRule="exact"/>
        <w:ind w:firstLine="643" w:firstLineChars="200"/>
        <w:rPr>
          <w:rFonts w:hint="eastAsia" w:ascii="仿宋_GB2312" w:hAnsi="宋体" w:eastAsia="仿宋_GB2312"/>
          <w:sz w:val="32"/>
          <w:szCs w:val="32"/>
        </w:rPr>
      </w:pPr>
      <w:r>
        <w:rPr>
          <w:rFonts w:hint="eastAsia" w:ascii="仿宋_GB2312" w:hAnsi="宋体" w:eastAsia="仿宋_GB2312"/>
          <w:b/>
          <w:sz w:val="32"/>
          <w:szCs w:val="32"/>
        </w:rPr>
        <w:t xml:space="preserve"> </w:t>
      </w:r>
      <w:r>
        <w:rPr>
          <w:rFonts w:hint="eastAsia" w:ascii="仿宋_GB2312" w:hAnsi="宋体" w:eastAsia="仿宋_GB2312"/>
          <w:sz w:val="32"/>
          <w:szCs w:val="32"/>
        </w:rPr>
        <w:t>今年初省巡视组指出：①</w:t>
      </w:r>
      <w:r>
        <w:rPr>
          <w:rFonts w:hint="eastAsia" w:ascii="仿宋_GB2312" w:eastAsia="仿宋_GB2312"/>
          <w:sz w:val="32"/>
          <w:szCs w:val="32"/>
        </w:rPr>
        <w:t>.</w:t>
      </w:r>
      <w:r>
        <w:rPr>
          <w:rFonts w:hint="eastAsia" w:ascii="仿宋_GB2312" w:hAnsi="宋体" w:eastAsia="仿宋_GB2312"/>
          <w:sz w:val="32"/>
          <w:szCs w:val="32"/>
        </w:rPr>
        <w:t>欠缴租赁住房租金</w:t>
      </w:r>
      <w:r>
        <w:rPr>
          <w:rFonts w:hint="eastAsia" w:ascii="仿宋_GB2312" w:eastAsia="仿宋_GB2312"/>
          <w:sz w:val="32"/>
          <w:szCs w:val="32"/>
        </w:rPr>
        <w:t>1106126</w:t>
      </w:r>
      <w:r>
        <w:rPr>
          <w:rFonts w:hint="eastAsia" w:ascii="仿宋_GB2312" w:hAnsi="宋体" w:eastAsia="仿宋_GB2312"/>
          <w:sz w:val="32"/>
          <w:szCs w:val="32"/>
        </w:rPr>
        <w:t>元，通过派出专项的追缴小组，进行上门催缴、跟踪追缴，目前已全部追缴完成。②</w:t>
      </w:r>
      <w:r>
        <w:rPr>
          <w:rFonts w:hint="eastAsia" w:ascii="仿宋_GB2312" w:eastAsia="仿宋_GB2312"/>
          <w:sz w:val="32"/>
          <w:szCs w:val="32"/>
        </w:rPr>
        <w:t>.</w:t>
      </w:r>
      <w:r>
        <w:rPr>
          <w:rFonts w:hint="eastAsia" w:ascii="仿宋_GB2312" w:hAnsi="宋体" w:eastAsia="仿宋_GB2312"/>
          <w:sz w:val="32"/>
          <w:szCs w:val="32"/>
        </w:rPr>
        <w:t xml:space="preserve">未建立公租房动态管理机制的问题，成立了公共租赁住房清退整顿领导小组，制定了清退整顿方案、清退六条制度，全面排底核实，通过对房产、车辆、工商信息比对，对 </w:t>
      </w:r>
      <w:r>
        <w:rPr>
          <w:rFonts w:hint="eastAsia" w:ascii="仿宋_GB2312" w:eastAsia="仿宋_GB2312"/>
          <w:sz w:val="32"/>
          <w:szCs w:val="32"/>
        </w:rPr>
        <w:t>471</w:t>
      </w:r>
      <w:r>
        <w:rPr>
          <w:rFonts w:hint="eastAsia" w:ascii="仿宋_GB2312" w:hAnsi="宋体" w:eastAsia="仿宋_GB2312"/>
          <w:sz w:val="32"/>
          <w:szCs w:val="32"/>
        </w:rPr>
        <w:t>户不符合条件的租户、对不清退的住房向法院诉讼，公职人员向纪委移交。</w:t>
      </w:r>
    </w:p>
    <w:p>
      <w:pPr>
        <w:snapToGrid w:val="0"/>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二、收入支出预算执行情况分析</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（一）收入支出预算安排情况。</w:t>
      </w:r>
    </w:p>
    <w:p>
      <w:pPr>
        <w:autoSpaceDE w:val="0"/>
        <w:autoSpaceDN w:val="0"/>
        <w:adjustRightInd w:val="0"/>
        <w:spacing w:line="360" w:lineRule="auto"/>
        <w:ind w:firstLine="640"/>
        <w:rPr>
          <w:rFonts w:eastAsia="仿宋"/>
          <w:sz w:val="32"/>
          <w:szCs w:val="32"/>
        </w:rPr>
      </w:pPr>
      <w:r>
        <w:rPr>
          <w:rFonts w:hint="eastAsia" w:ascii="仿宋" w:hAnsi="仿宋" w:eastAsia="仿宋"/>
          <w:sz w:val="32"/>
          <w:szCs w:val="32"/>
        </w:rPr>
        <w:t>2021年，本部门年初预算收入</w:t>
      </w:r>
      <w:r>
        <w:rPr>
          <w:rFonts w:hint="eastAsia" w:ascii="仿宋" w:hAnsi="仿宋" w:eastAsia="仿宋"/>
          <w:sz w:val="28"/>
          <w:szCs w:val="28"/>
        </w:rPr>
        <w:t>2118.596</w:t>
      </w:r>
      <w:r>
        <w:rPr>
          <w:rFonts w:hint="eastAsia" w:ascii="仿宋" w:hAnsi="仿宋" w:eastAsia="仿宋"/>
          <w:sz w:val="32"/>
          <w:szCs w:val="32"/>
        </w:rPr>
        <w:t>万元，比上年增加</w:t>
      </w:r>
      <w:r>
        <w:rPr>
          <w:rFonts w:hint="eastAsia" w:ascii="仿宋" w:hAnsi="仿宋" w:eastAsia="仿宋"/>
          <w:sz w:val="28"/>
          <w:szCs w:val="28"/>
        </w:rPr>
        <w:t>12.6</w:t>
      </w:r>
      <w:r>
        <w:rPr>
          <w:rFonts w:hint="eastAsia" w:ascii="仿宋" w:hAnsi="仿宋" w:eastAsia="仿宋"/>
          <w:sz w:val="32"/>
          <w:szCs w:val="32"/>
        </w:rPr>
        <w:t>万元，增长</w:t>
      </w:r>
      <w:r>
        <w:rPr>
          <w:rFonts w:hint="eastAsia" w:ascii="仿宋" w:hAnsi="仿宋" w:eastAsia="仿宋"/>
          <w:sz w:val="28"/>
          <w:szCs w:val="28"/>
        </w:rPr>
        <w:t>0.5</w:t>
      </w:r>
      <w:r>
        <w:rPr>
          <w:rFonts w:hint="eastAsia" w:ascii="仿宋" w:hAnsi="仿宋" w:eastAsia="仿宋"/>
          <w:sz w:val="32"/>
          <w:szCs w:val="32"/>
        </w:rPr>
        <w:t>%,增减变化的主要原因是：公用经费增加。其中：一般公共预算财政拨款收入年初预算</w:t>
      </w:r>
      <w:r>
        <w:rPr>
          <w:rFonts w:hint="eastAsia" w:ascii="仿宋" w:hAnsi="仿宋" w:eastAsia="仿宋"/>
          <w:sz w:val="28"/>
          <w:szCs w:val="28"/>
        </w:rPr>
        <w:t>2118.596</w:t>
      </w:r>
      <w:r>
        <w:rPr>
          <w:rFonts w:hint="eastAsia" w:ascii="仿宋" w:hAnsi="仿宋" w:eastAsia="仿宋"/>
          <w:sz w:val="32"/>
          <w:szCs w:val="32"/>
        </w:rPr>
        <w:t>万元，比上年增加12.6万元；政府性基金预算财政拨款收入年初预算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万元；上级补助收入年初预算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万元；事业收入年初预算</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万元；经营收入年初预算收入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万元；附属单位上缴收入年初预算收入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万元；其他收入年初预算收入</w:t>
      </w:r>
      <w:r>
        <w:rPr>
          <w:rFonts w:hint="eastAsia" w:ascii="仿宋" w:hAnsi="仿宋" w:eastAsia="仿宋"/>
          <w:sz w:val="28"/>
          <w:szCs w:val="28"/>
        </w:rPr>
        <w:t>0</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万元。年度执行中因单位人数变动及单位事权调整，预算跟随调整情况，主要变化是：收入调整预算数为</w:t>
      </w:r>
      <w:r>
        <w:rPr>
          <w:rFonts w:hint="eastAsia" w:ascii="仿宋" w:eastAsia="仿宋"/>
          <w:sz w:val="32"/>
          <w:szCs w:val="32"/>
        </w:rPr>
        <w:t>1875.4万元。</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2021年，本部门年初预算支出</w:t>
      </w:r>
      <w:r>
        <w:rPr>
          <w:rFonts w:hint="eastAsia" w:ascii="仿宋" w:hAnsi="仿宋" w:eastAsia="仿宋"/>
          <w:sz w:val="28"/>
          <w:szCs w:val="28"/>
        </w:rPr>
        <w:t>2118.596</w:t>
      </w:r>
      <w:r>
        <w:rPr>
          <w:rFonts w:hint="eastAsia" w:ascii="仿宋" w:hAnsi="仿宋" w:eastAsia="仿宋"/>
          <w:sz w:val="32"/>
          <w:szCs w:val="32"/>
        </w:rPr>
        <w:t>万元，比上年增加</w:t>
      </w:r>
      <w:r>
        <w:rPr>
          <w:rFonts w:hint="eastAsia" w:ascii="仿宋" w:hAnsi="仿宋" w:eastAsia="仿宋"/>
          <w:sz w:val="28"/>
          <w:szCs w:val="28"/>
        </w:rPr>
        <w:t>12.6</w:t>
      </w:r>
      <w:r>
        <w:rPr>
          <w:rFonts w:hint="eastAsia" w:ascii="仿宋" w:hAnsi="仿宋" w:eastAsia="仿宋"/>
          <w:sz w:val="32"/>
          <w:szCs w:val="32"/>
        </w:rPr>
        <w:t>万元，增长</w:t>
      </w:r>
      <w:r>
        <w:rPr>
          <w:rFonts w:hint="eastAsia" w:ascii="仿宋" w:hAnsi="仿宋" w:eastAsia="仿宋"/>
          <w:sz w:val="28"/>
          <w:szCs w:val="28"/>
        </w:rPr>
        <w:t>0.5</w:t>
      </w:r>
      <w:r>
        <w:rPr>
          <w:rFonts w:hint="eastAsia" w:ascii="仿宋" w:hAnsi="仿宋" w:eastAsia="仿宋"/>
          <w:sz w:val="32"/>
          <w:szCs w:val="32"/>
        </w:rPr>
        <w:t>%，增减变化的主要原因是：公用经费增加。其中：基本支出年初预算</w:t>
      </w:r>
      <w:r>
        <w:rPr>
          <w:rFonts w:hint="eastAsia" w:ascii="仿宋" w:hAnsi="仿宋" w:eastAsia="仿宋"/>
          <w:sz w:val="28"/>
          <w:szCs w:val="28"/>
        </w:rPr>
        <w:t>1719.6</w:t>
      </w:r>
      <w:r>
        <w:rPr>
          <w:rFonts w:hint="eastAsia" w:ascii="仿宋" w:hAnsi="仿宋" w:eastAsia="仿宋"/>
          <w:sz w:val="32"/>
          <w:szCs w:val="32"/>
        </w:rPr>
        <w:t>万元，比上年增加12.6万元，增长</w:t>
      </w:r>
      <w:r>
        <w:rPr>
          <w:rFonts w:hint="eastAsia" w:ascii="仿宋" w:hAnsi="仿宋" w:eastAsia="仿宋"/>
          <w:sz w:val="28"/>
          <w:szCs w:val="28"/>
        </w:rPr>
        <w:t>0.5</w:t>
      </w:r>
      <w:r>
        <w:rPr>
          <w:rFonts w:hint="eastAsia" w:ascii="仿宋" w:hAnsi="仿宋" w:eastAsia="仿宋"/>
          <w:sz w:val="32"/>
          <w:szCs w:val="32"/>
        </w:rPr>
        <w:t>%；项目支出年初预算</w:t>
      </w:r>
      <w:r>
        <w:rPr>
          <w:rFonts w:hint="eastAsia" w:ascii="仿宋" w:hAnsi="仿宋" w:eastAsia="仿宋"/>
          <w:sz w:val="28"/>
          <w:szCs w:val="28"/>
        </w:rPr>
        <w:t>399</w:t>
      </w:r>
      <w:r>
        <w:rPr>
          <w:rFonts w:hint="eastAsia" w:ascii="仿宋" w:hAnsi="仿宋" w:eastAsia="仿宋"/>
          <w:sz w:val="32"/>
          <w:szCs w:val="32"/>
        </w:rPr>
        <w:t>万元，比上年增减</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%。年度执行中因单位人数变动及单位事权调整，预算跟随调整情况，主要变化是：公用经费增加。</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（二）收入支出预算执行情况。</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2021年收入实际完成</w:t>
      </w:r>
      <w:r>
        <w:rPr>
          <w:rFonts w:hint="eastAsia" w:ascii="仿宋" w:hAnsi="仿宋" w:eastAsia="仿宋"/>
          <w:sz w:val="28"/>
          <w:szCs w:val="28"/>
        </w:rPr>
        <w:t>2083.85</w:t>
      </w:r>
      <w:r>
        <w:rPr>
          <w:rFonts w:hint="eastAsia" w:ascii="仿宋" w:hAnsi="仿宋" w:eastAsia="仿宋"/>
          <w:sz w:val="32"/>
          <w:szCs w:val="32"/>
        </w:rPr>
        <w:t>万元，比上年增减</w:t>
      </w:r>
      <w:r>
        <w:rPr>
          <w:rFonts w:hint="eastAsia" w:ascii="仿宋" w:hAnsi="仿宋" w:eastAsia="仿宋"/>
          <w:sz w:val="28"/>
          <w:szCs w:val="28"/>
        </w:rPr>
        <w:t>-382.9</w:t>
      </w:r>
      <w:r>
        <w:rPr>
          <w:rFonts w:hint="eastAsia" w:ascii="仿宋" w:hAnsi="仿宋" w:eastAsia="仿宋"/>
          <w:sz w:val="32"/>
          <w:szCs w:val="32"/>
        </w:rPr>
        <w:t>万元，</w:t>
      </w:r>
      <w:r>
        <w:rPr>
          <w:rFonts w:hint="eastAsia" w:ascii="仿宋" w:eastAsia="仿宋"/>
          <w:sz w:val="32"/>
          <w:szCs w:val="32"/>
        </w:rPr>
        <w:t>下降</w:t>
      </w:r>
      <w:r>
        <w:rPr>
          <w:rFonts w:hint="eastAsia" w:ascii="仿宋" w:hAnsi="仿宋" w:eastAsia="仿宋"/>
          <w:sz w:val="28"/>
          <w:szCs w:val="28"/>
        </w:rPr>
        <w:t>16.07</w:t>
      </w:r>
      <w:r>
        <w:rPr>
          <w:rFonts w:hint="eastAsia" w:ascii="仿宋" w:hAnsi="仿宋" w:eastAsia="仿宋"/>
          <w:sz w:val="32"/>
          <w:szCs w:val="32"/>
        </w:rPr>
        <w:t>%。主要原因是：单位的机构职能划分出去。其中：一般公共预算财政拨款收入完成</w:t>
      </w:r>
      <w:r>
        <w:rPr>
          <w:rFonts w:hint="eastAsia" w:ascii="仿宋" w:hAnsi="仿宋" w:eastAsia="仿宋"/>
          <w:sz w:val="28"/>
          <w:szCs w:val="28"/>
        </w:rPr>
        <w:t>1875.4</w:t>
      </w:r>
      <w:r>
        <w:rPr>
          <w:rFonts w:hint="eastAsia" w:ascii="仿宋" w:hAnsi="仿宋" w:eastAsia="仿宋"/>
          <w:sz w:val="32"/>
          <w:szCs w:val="32"/>
        </w:rPr>
        <w:t>万元，比上年</w:t>
      </w:r>
      <w:r>
        <w:rPr>
          <w:rFonts w:hint="eastAsia" w:ascii="仿宋" w:hAnsi="仿宋" w:eastAsia="仿宋"/>
          <w:sz w:val="28"/>
          <w:szCs w:val="28"/>
        </w:rPr>
        <w:t>减少506.77</w:t>
      </w:r>
      <w:r>
        <w:rPr>
          <w:rFonts w:hint="eastAsia" w:ascii="仿宋" w:hAnsi="仿宋" w:eastAsia="仿宋"/>
          <w:sz w:val="32"/>
          <w:szCs w:val="32"/>
        </w:rPr>
        <w:t>万元，</w:t>
      </w:r>
      <w:r>
        <w:rPr>
          <w:rFonts w:hint="eastAsia" w:ascii="仿宋" w:eastAsia="仿宋"/>
          <w:sz w:val="32"/>
          <w:szCs w:val="32"/>
        </w:rPr>
        <w:t>下降</w:t>
      </w:r>
      <w:r>
        <w:rPr>
          <w:rFonts w:hint="eastAsia" w:ascii="仿宋" w:hAnsi="仿宋" w:eastAsia="仿宋"/>
          <w:sz w:val="28"/>
          <w:szCs w:val="28"/>
        </w:rPr>
        <w:t>21.3</w:t>
      </w:r>
      <w:r>
        <w:rPr>
          <w:rFonts w:hint="eastAsia" w:ascii="仿宋" w:hAnsi="仿宋" w:eastAsia="仿宋"/>
          <w:sz w:val="32"/>
          <w:szCs w:val="32"/>
        </w:rPr>
        <w:t>%，变化的主要原因是：单位的机构职能划分出去；政府性基金财政拨款收入完成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%，变化的主要原因是：上级补助收入完成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万元；事业收入完成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%，变化的主要原因是：经营收入完成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w:t>
      </w:r>
      <w:r>
        <w:rPr>
          <w:rFonts w:eastAsia="仿宋"/>
          <w:sz w:val="32"/>
          <w:szCs w:val="32"/>
        </w:rPr>
        <w:t>,</w:t>
      </w:r>
      <w:r>
        <w:rPr>
          <w:rFonts w:hint="eastAsia" w:ascii="仿宋" w:hAnsi="仿宋" w:eastAsia="仿宋"/>
          <w:sz w:val="32"/>
          <w:szCs w:val="32"/>
        </w:rPr>
        <w:t>增长</w:t>
      </w:r>
      <w:r>
        <w:rPr>
          <w:rFonts w:hint="eastAsia" w:ascii="仿宋" w:eastAsia="仿宋"/>
          <w:sz w:val="32"/>
          <w:szCs w:val="32"/>
        </w:rPr>
        <w:t>(下降)</w:t>
      </w:r>
      <w:r>
        <w:rPr>
          <w:rFonts w:hint="eastAsia" w:ascii="仿宋" w:hAnsi="仿宋" w:eastAsia="仿宋"/>
          <w:sz w:val="28"/>
          <w:szCs w:val="28"/>
        </w:rPr>
        <w:t>0</w:t>
      </w:r>
      <w:r>
        <w:rPr>
          <w:rFonts w:hint="eastAsia" w:ascii="仿宋" w:hAnsi="仿宋" w:eastAsia="仿宋"/>
          <w:sz w:val="32"/>
          <w:szCs w:val="32"/>
        </w:rPr>
        <w:t>%，变化的主要原因是：附属单位上缴收入完成</w:t>
      </w:r>
      <w:r>
        <w:rPr>
          <w:rFonts w:hint="eastAsia" w:ascii="仿宋" w:hAnsi="仿宋" w:eastAsia="仿宋"/>
          <w:sz w:val="28"/>
          <w:szCs w:val="28"/>
        </w:rPr>
        <w:t>0</w:t>
      </w:r>
      <w:r>
        <w:rPr>
          <w:rFonts w:hint="eastAsia" w:ascii="仿宋" w:hAnsi="仿宋" w:eastAsia="仿宋"/>
          <w:sz w:val="32"/>
          <w:szCs w:val="32"/>
        </w:rPr>
        <w:t>万元，比上年</w:t>
      </w:r>
      <w:r>
        <w:rPr>
          <w:rFonts w:hint="eastAsia" w:ascii="仿宋" w:hAnsi="仿宋" w:eastAsia="仿宋"/>
          <w:sz w:val="28"/>
          <w:szCs w:val="28"/>
        </w:rPr>
        <w:t>0</w:t>
      </w:r>
      <w:r>
        <w:rPr>
          <w:rFonts w:hint="eastAsia" w:ascii="仿宋" w:hAnsi="仿宋" w:eastAsia="仿宋"/>
          <w:sz w:val="32"/>
          <w:szCs w:val="32"/>
        </w:rPr>
        <w:t>万元；其他收入完成</w:t>
      </w:r>
      <w:r>
        <w:rPr>
          <w:rFonts w:hint="eastAsia" w:ascii="仿宋" w:hAnsi="仿宋" w:eastAsia="仿宋"/>
          <w:sz w:val="28"/>
          <w:szCs w:val="28"/>
        </w:rPr>
        <w:t>140.74</w:t>
      </w:r>
      <w:r>
        <w:rPr>
          <w:rFonts w:hint="eastAsia" w:ascii="仿宋" w:hAnsi="仿宋" w:eastAsia="仿宋"/>
          <w:sz w:val="32"/>
          <w:szCs w:val="32"/>
        </w:rPr>
        <w:t>万元，比上年增加</w:t>
      </w:r>
      <w:r>
        <w:rPr>
          <w:rFonts w:hint="eastAsia" w:ascii="仿宋" w:hAnsi="仿宋" w:eastAsia="仿宋"/>
          <w:sz w:val="28"/>
          <w:szCs w:val="28"/>
        </w:rPr>
        <w:t>123.74</w:t>
      </w:r>
      <w:r>
        <w:rPr>
          <w:rFonts w:hint="eastAsia" w:ascii="仿宋" w:hAnsi="仿宋" w:eastAsia="仿宋"/>
          <w:sz w:val="32"/>
          <w:szCs w:val="32"/>
        </w:rPr>
        <w:t>万元，增长</w:t>
      </w:r>
      <w:r>
        <w:rPr>
          <w:rFonts w:hint="eastAsia" w:ascii="仿宋" w:hAnsi="仿宋" w:eastAsia="仿宋"/>
          <w:sz w:val="28"/>
          <w:szCs w:val="28"/>
        </w:rPr>
        <w:t>727.6</w:t>
      </w:r>
      <w:r>
        <w:rPr>
          <w:rFonts w:hint="eastAsia" w:ascii="仿宋" w:hAnsi="仿宋" w:eastAsia="仿宋"/>
          <w:sz w:val="32"/>
          <w:szCs w:val="32"/>
        </w:rPr>
        <w:t>%，变化的主要原因是：</w:t>
      </w:r>
      <w:r>
        <w:rPr>
          <w:rFonts w:hint="eastAsia" w:ascii="仿宋" w:hAnsi="仿宋" w:eastAsia="仿宋"/>
          <w:sz w:val="28"/>
          <w:szCs w:val="28"/>
        </w:rPr>
        <w:t>上年结转余额增加</w:t>
      </w:r>
      <w:r>
        <w:rPr>
          <w:rFonts w:hint="eastAsia" w:ascii="仿宋" w:hAnsi="仿宋" w:eastAsia="仿宋"/>
          <w:sz w:val="32"/>
          <w:szCs w:val="32"/>
        </w:rPr>
        <w:t>。</w:t>
      </w:r>
    </w:p>
    <w:p>
      <w:pPr>
        <w:autoSpaceDE w:val="0"/>
        <w:autoSpaceDN w:val="0"/>
        <w:adjustRightInd w:val="0"/>
        <w:spacing w:line="520" w:lineRule="exact"/>
        <w:ind w:firstLine="643"/>
        <w:rPr>
          <w:rFonts w:eastAsia="仿宋"/>
          <w:sz w:val="28"/>
          <w:szCs w:val="28"/>
        </w:rPr>
      </w:pPr>
      <w:r>
        <w:rPr>
          <w:rFonts w:hint="eastAsia" w:ascii="仿宋" w:hAnsi="仿宋" w:eastAsia="仿宋"/>
          <w:sz w:val="32"/>
          <w:szCs w:val="32"/>
        </w:rPr>
        <w:t>2021年，本部门支出</w:t>
      </w:r>
      <w:r>
        <w:rPr>
          <w:rFonts w:hint="eastAsia" w:ascii="仿宋" w:hAnsi="仿宋" w:eastAsia="仿宋"/>
          <w:sz w:val="28"/>
          <w:szCs w:val="28"/>
        </w:rPr>
        <w:t>2083.85</w:t>
      </w:r>
      <w:r>
        <w:rPr>
          <w:rFonts w:hint="eastAsia" w:ascii="仿宋" w:hAnsi="仿宋" w:eastAsia="仿宋"/>
          <w:sz w:val="32"/>
          <w:szCs w:val="32"/>
        </w:rPr>
        <w:t>万元，比上年减少</w:t>
      </w:r>
      <w:r>
        <w:rPr>
          <w:rFonts w:hint="eastAsia" w:ascii="仿宋" w:hAnsi="仿宋" w:eastAsia="仿宋"/>
          <w:sz w:val="28"/>
          <w:szCs w:val="28"/>
        </w:rPr>
        <w:t>174</w:t>
      </w:r>
      <w:r>
        <w:rPr>
          <w:rFonts w:hint="eastAsia" w:ascii="仿宋" w:hAnsi="仿宋" w:eastAsia="仿宋"/>
          <w:sz w:val="32"/>
          <w:szCs w:val="32"/>
        </w:rPr>
        <w:t>万元，</w:t>
      </w:r>
      <w:r>
        <w:rPr>
          <w:rFonts w:hint="eastAsia" w:ascii="仿宋" w:eastAsia="仿宋"/>
          <w:sz w:val="32"/>
          <w:szCs w:val="32"/>
        </w:rPr>
        <w:t>下降</w:t>
      </w:r>
      <w:r>
        <w:rPr>
          <w:rFonts w:hint="eastAsia" w:ascii="仿宋" w:hAnsi="仿宋" w:eastAsia="仿宋"/>
          <w:sz w:val="28"/>
          <w:szCs w:val="28"/>
        </w:rPr>
        <w:t>7.7</w:t>
      </w:r>
      <w:r>
        <w:rPr>
          <w:rFonts w:hint="eastAsia" w:ascii="仿宋" w:hAnsi="仿宋" w:eastAsia="仿宋"/>
          <w:sz w:val="32"/>
          <w:szCs w:val="32"/>
        </w:rPr>
        <w:t>%；变化的主要原因：人员经费减少。其中：基本支出完成</w:t>
      </w:r>
      <w:r>
        <w:rPr>
          <w:rFonts w:hint="eastAsia" w:ascii="仿宋" w:hAnsi="仿宋" w:eastAsia="仿宋"/>
          <w:sz w:val="28"/>
          <w:szCs w:val="28"/>
        </w:rPr>
        <w:t>1928.8</w:t>
      </w:r>
      <w:r>
        <w:rPr>
          <w:rFonts w:hint="eastAsia" w:ascii="仿宋" w:hAnsi="仿宋" w:eastAsia="仿宋"/>
          <w:sz w:val="32"/>
          <w:szCs w:val="32"/>
        </w:rPr>
        <w:t>万元，比上年增加</w:t>
      </w:r>
      <w:r>
        <w:rPr>
          <w:rFonts w:hint="eastAsia" w:ascii="仿宋" w:hAnsi="仿宋" w:eastAsia="仿宋"/>
          <w:sz w:val="28"/>
          <w:szCs w:val="28"/>
        </w:rPr>
        <w:t>94.2</w:t>
      </w:r>
      <w:r>
        <w:rPr>
          <w:rFonts w:hint="eastAsia" w:ascii="仿宋" w:hAnsi="仿宋" w:eastAsia="仿宋"/>
          <w:sz w:val="32"/>
          <w:szCs w:val="32"/>
        </w:rPr>
        <w:t>万元，</w:t>
      </w:r>
      <w:r>
        <w:rPr>
          <w:rFonts w:hint="eastAsia" w:ascii="仿宋" w:eastAsia="仿宋"/>
          <w:sz w:val="32"/>
          <w:szCs w:val="32"/>
        </w:rPr>
        <w:t>下降</w:t>
      </w:r>
      <w:r>
        <w:rPr>
          <w:rFonts w:hint="eastAsia" w:ascii="仿宋" w:hAnsi="仿宋" w:eastAsia="仿宋"/>
          <w:sz w:val="28"/>
          <w:szCs w:val="28"/>
        </w:rPr>
        <w:t>4.6%，</w:t>
      </w:r>
      <w:r>
        <w:rPr>
          <w:rFonts w:hint="eastAsia" w:ascii="仿宋" w:hAnsi="仿宋" w:eastAsia="仿宋"/>
          <w:sz w:val="32"/>
          <w:szCs w:val="32"/>
        </w:rPr>
        <w:t>变化的主要原因：人员减少。项目支出</w:t>
      </w:r>
      <w:r>
        <w:rPr>
          <w:rFonts w:hint="eastAsia" w:ascii="仿宋" w:hAnsi="仿宋" w:eastAsia="仿宋"/>
          <w:sz w:val="28"/>
          <w:szCs w:val="28"/>
        </w:rPr>
        <w:t>155</w:t>
      </w:r>
      <w:r>
        <w:rPr>
          <w:rFonts w:hint="eastAsia" w:ascii="仿宋" w:hAnsi="仿宋" w:eastAsia="仿宋"/>
          <w:sz w:val="32"/>
          <w:szCs w:val="32"/>
        </w:rPr>
        <w:t>万元，比上年减少</w:t>
      </w:r>
      <w:r>
        <w:rPr>
          <w:rFonts w:hint="eastAsia" w:ascii="仿宋" w:hAnsi="仿宋" w:eastAsia="仿宋"/>
          <w:sz w:val="28"/>
          <w:szCs w:val="28"/>
        </w:rPr>
        <w:t>80</w:t>
      </w:r>
      <w:r>
        <w:rPr>
          <w:rFonts w:hint="eastAsia" w:ascii="仿宋" w:hAnsi="仿宋" w:eastAsia="仿宋"/>
          <w:sz w:val="32"/>
          <w:szCs w:val="32"/>
        </w:rPr>
        <w:t>万元，</w:t>
      </w:r>
      <w:r>
        <w:rPr>
          <w:rFonts w:hint="eastAsia" w:ascii="仿宋" w:eastAsia="仿宋"/>
          <w:sz w:val="32"/>
          <w:szCs w:val="32"/>
        </w:rPr>
        <w:t>下降</w:t>
      </w:r>
      <w:r>
        <w:rPr>
          <w:rFonts w:hint="eastAsia" w:ascii="仿宋" w:hAnsi="仿宋" w:eastAsia="仿宋"/>
          <w:sz w:val="28"/>
          <w:szCs w:val="28"/>
        </w:rPr>
        <w:t>34%</w:t>
      </w:r>
      <w:r>
        <w:rPr>
          <w:rFonts w:hint="eastAsia" w:ascii="仿宋" w:hAnsi="仿宋" w:eastAsia="仿宋"/>
          <w:sz w:val="32"/>
          <w:szCs w:val="32"/>
        </w:rPr>
        <w:t>；变化的主要原因：预算单位的专项项目支出减少。人员经费完成</w:t>
      </w:r>
      <w:r>
        <w:rPr>
          <w:rFonts w:hint="eastAsia" w:ascii="仿宋" w:hAnsi="仿宋" w:eastAsia="仿宋"/>
          <w:sz w:val="28"/>
          <w:szCs w:val="28"/>
        </w:rPr>
        <w:t>1621.4万</w:t>
      </w:r>
      <w:r>
        <w:rPr>
          <w:rFonts w:hint="eastAsia" w:ascii="仿宋" w:hAnsi="仿宋" w:eastAsia="仿宋"/>
          <w:sz w:val="32"/>
          <w:szCs w:val="32"/>
        </w:rPr>
        <w:t>元，比上年增减</w:t>
      </w:r>
      <w:r>
        <w:rPr>
          <w:rFonts w:hint="eastAsia" w:ascii="仿宋" w:hAnsi="仿宋" w:eastAsia="仿宋"/>
          <w:sz w:val="28"/>
          <w:szCs w:val="28"/>
        </w:rPr>
        <w:t>124.6</w:t>
      </w:r>
      <w:r>
        <w:rPr>
          <w:rFonts w:hint="eastAsia" w:ascii="仿宋" w:hAnsi="仿宋" w:eastAsia="仿宋"/>
          <w:sz w:val="32"/>
          <w:szCs w:val="32"/>
        </w:rPr>
        <w:t>万元，</w:t>
      </w:r>
      <w:r>
        <w:rPr>
          <w:rFonts w:hint="eastAsia" w:ascii="仿宋" w:hAnsi="仿宋" w:eastAsia="仿宋"/>
          <w:sz w:val="28"/>
          <w:szCs w:val="28"/>
        </w:rPr>
        <w:t xml:space="preserve"> 减少7.1%，</w:t>
      </w:r>
      <w:r>
        <w:rPr>
          <w:rFonts w:hint="eastAsia" w:ascii="仿宋" w:hAnsi="仿宋" w:eastAsia="仿宋"/>
          <w:sz w:val="32"/>
          <w:szCs w:val="32"/>
        </w:rPr>
        <w:t>变化的主要原因：自然减员与退休；公用经费完成</w:t>
      </w:r>
      <w:r>
        <w:rPr>
          <w:rFonts w:hint="eastAsia" w:ascii="仿宋" w:hAnsi="仿宋" w:eastAsia="仿宋"/>
          <w:sz w:val="28"/>
          <w:szCs w:val="28"/>
        </w:rPr>
        <w:t>307.5</w:t>
      </w:r>
      <w:r>
        <w:rPr>
          <w:rFonts w:hint="eastAsia" w:ascii="仿宋" w:hAnsi="仿宋" w:eastAsia="仿宋"/>
          <w:sz w:val="32"/>
          <w:szCs w:val="32"/>
        </w:rPr>
        <w:t>万元，比上年增加30.5万元，增长</w:t>
      </w:r>
      <w:r>
        <w:rPr>
          <w:rFonts w:hint="eastAsia" w:ascii="仿宋" w:hAnsi="仿宋" w:eastAsia="仿宋"/>
          <w:sz w:val="28"/>
          <w:szCs w:val="28"/>
        </w:rPr>
        <w:t>11%，</w:t>
      </w:r>
      <w:r>
        <w:rPr>
          <w:rFonts w:hint="eastAsia" w:ascii="仿宋" w:hAnsi="仿宋" w:eastAsia="仿宋"/>
          <w:sz w:val="32"/>
          <w:szCs w:val="32"/>
        </w:rPr>
        <w:t>变化的主要原因：2021年公租房维修资金增加，创文工作用款增加，城市片区棚户区改造费用增加。</w:t>
      </w:r>
    </w:p>
    <w:p>
      <w:pPr>
        <w:autoSpaceDE w:val="0"/>
        <w:autoSpaceDN w:val="0"/>
        <w:adjustRightInd w:val="0"/>
        <w:spacing w:line="520" w:lineRule="exact"/>
        <w:ind w:firstLine="643"/>
        <w:rPr>
          <w:rFonts w:eastAsia="仿宋"/>
          <w:b/>
          <w:sz w:val="32"/>
          <w:szCs w:val="32"/>
        </w:rPr>
      </w:pPr>
      <w:r>
        <w:rPr>
          <w:rFonts w:hint="eastAsia" w:ascii="仿宋_GB2312" w:eastAsia="仿宋_GB2312"/>
          <w:b/>
          <w:sz w:val="32"/>
          <w:szCs w:val="32"/>
        </w:rPr>
        <w:t>1．收入支出与预算对比分析。</w:t>
      </w:r>
      <w:r>
        <w:rPr>
          <w:rFonts w:hint="eastAsia" w:ascii="仿宋" w:hAnsi="仿宋" w:eastAsia="仿宋"/>
          <w:sz w:val="32"/>
          <w:szCs w:val="32"/>
        </w:rPr>
        <w:t>与上年度对比情况，包括增减绝对值与幅度，增减变动主要原因。</w:t>
      </w:r>
    </w:p>
    <w:p>
      <w:pPr>
        <w:autoSpaceDE w:val="0"/>
        <w:autoSpaceDN w:val="0"/>
        <w:adjustRightInd w:val="0"/>
        <w:spacing w:line="520" w:lineRule="exact"/>
        <w:ind w:firstLine="640"/>
        <w:rPr>
          <w:rFonts w:ascii="仿宋" w:eastAsia="仿宋" w:cs="宋体"/>
          <w:sz w:val="32"/>
          <w:szCs w:val="32"/>
        </w:rPr>
      </w:pPr>
      <w:r>
        <w:rPr>
          <w:rFonts w:hint="eastAsia" w:ascii="仿宋" w:hAnsi="仿宋" w:eastAsia="仿宋"/>
          <w:sz w:val="32"/>
          <w:szCs w:val="32"/>
        </w:rPr>
        <w:t>（</w:t>
      </w:r>
      <w:r>
        <w:rPr>
          <w:rFonts w:hint="eastAsia" w:ascii="仿宋" w:eastAsia="仿宋"/>
          <w:sz w:val="32"/>
          <w:szCs w:val="32"/>
        </w:rPr>
        <w:t>1）预、决算差异情况，可分收入支出功能科目、分单位、分收入支出具体项目逐项对比列表。</w:t>
      </w:r>
    </w:p>
    <w:tbl>
      <w:tblPr>
        <w:tblStyle w:val="2"/>
        <w:tblW w:w="8141" w:type="dxa"/>
        <w:tblInd w:w="93" w:type="dxa"/>
        <w:tblLayout w:type="fixed"/>
        <w:tblCellMar>
          <w:top w:w="0" w:type="dxa"/>
          <w:left w:w="108" w:type="dxa"/>
          <w:bottom w:w="0" w:type="dxa"/>
          <w:right w:w="108" w:type="dxa"/>
        </w:tblCellMar>
      </w:tblPr>
      <w:tblGrid>
        <w:gridCol w:w="3150"/>
        <w:gridCol w:w="2711"/>
        <w:gridCol w:w="2280"/>
      </w:tblGrid>
      <w:tr>
        <w:tblPrEx>
          <w:tblCellMar>
            <w:top w:w="0" w:type="dxa"/>
            <w:left w:w="108" w:type="dxa"/>
            <w:bottom w:w="0" w:type="dxa"/>
            <w:right w:w="108" w:type="dxa"/>
          </w:tblCellMar>
        </w:tblPrEx>
        <w:trPr>
          <w:trHeight w:val="405" w:hRule="atLeast"/>
        </w:trPr>
        <w:tc>
          <w:tcPr>
            <w:tcW w:w="8141"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支     出</w:t>
            </w:r>
          </w:p>
        </w:tc>
      </w:tr>
      <w:tr>
        <w:tblPrEx>
          <w:tblCellMar>
            <w:top w:w="0" w:type="dxa"/>
            <w:left w:w="108" w:type="dxa"/>
            <w:bottom w:w="0" w:type="dxa"/>
            <w:right w:w="108" w:type="dxa"/>
          </w:tblCellMar>
        </w:tblPrEx>
        <w:trPr>
          <w:trHeight w:val="390" w:hRule="atLeast"/>
        </w:trPr>
        <w:tc>
          <w:tcPr>
            <w:tcW w:w="3150" w:type="dxa"/>
            <w:vMerge w:val="restart"/>
            <w:tcBorders>
              <w:top w:val="nil"/>
              <w:left w:val="single" w:color="auto" w:sz="4" w:space="0"/>
              <w:bottom w:val="single" w:color="auto" w:sz="4" w:space="0"/>
              <w:right w:val="single" w:color="auto" w:sz="4" w:space="0"/>
            </w:tcBorders>
            <w:vAlign w:val="center"/>
          </w:tcPr>
          <w:p>
            <w:pPr>
              <w:widowControl/>
              <w:jc w:val="center"/>
              <w:rPr>
                <w:rFonts w:cs="宋体"/>
                <w:kern w:val="0"/>
                <w:sz w:val="24"/>
                <w:szCs w:val="24"/>
              </w:rPr>
            </w:pPr>
            <w:r>
              <w:rPr>
                <w:rFonts w:hint="eastAsia" w:ascii="宋体" w:hAnsi="宋体"/>
                <w:kern w:val="0"/>
                <w:sz w:val="24"/>
                <w:szCs w:val="24"/>
              </w:rPr>
              <w:t>项目(按支出性质和经济分类)</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年初预算数</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决算数</w:t>
            </w:r>
          </w:p>
        </w:tc>
      </w:tr>
      <w:tr>
        <w:tblPrEx>
          <w:tblCellMar>
            <w:top w:w="0" w:type="dxa"/>
            <w:left w:w="108" w:type="dxa"/>
            <w:bottom w:w="0" w:type="dxa"/>
            <w:right w:w="108" w:type="dxa"/>
          </w:tblCellMar>
        </w:tblPrEx>
        <w:trPr>
          <w:trHeight w:val="525" w:hRule="atLeast"/>
        </w:trPr>
        <w:tc>
          <w:tcPr>
            <w:tcW w:w="3150" w:type="dxa"/>
            <w:vMerge w:val="continue"/>
            <w:tcBorders>
              <w:top w:val="nil"/>
              <w:left w:val="single" w:color="auto" w:sz="4" w:space="0"/>
              <w:bottom w:val="single" w:color="auto" w:sz="4" w:space="0"/>
              <w:right w:val="single" w:color="auto" w:sz="4" w:space="0"/>
            </w:tcBorders>
            <w:vAlign w:val="center"/>
          </w:tcPr>
          <w:p>
            <w:pPr>
              <w:widowControl/>
              <w:jc w:val="left"/>
              <w:rPr>
                <w:rFonts w:cs="宋体"/>
                <w:kern w:val="0"/>
                <w:sz w:val="24"/>
                <w:szCs w:val="24"/>
              </w:rPr>
            </w:pPr>
          </w:p>
        </w:tc>
        <w:tc>
          <w:tcPr>
            <w:tcW w:w="2711" w:type="dxa"/>
            <w:tcBorders>
              <w:top w:val="nil"/>
              <w:left w:val="nil"/>
              <w:bottom w:val="single" w:color="auto" w:sz="4" w:space="0"/>
              <w:right w:val="single" w:color="auto" w:sz="4" w:space="0"/>
            </w:tcBorders>
            <w:vAlign w:val="center"/>
          </w:tcPr>
          <w:p>
            <w:pPr>
              <w:widowControl/>
              <w:jc w:val="center"/>
              <w:rPr>
                <w:rFonts w:cs="宋体"/>
                <w:kern w:val="0"/>
                <w:sz w:val="24"/>
                <w:szCs w:val="24"/>
              </w:rPr>
            </w:pPr>
            <w:r>
              <w:rPr>
                <w:rFonts w:hint="eastAsia" w:ascii="宋体" w:hAnsi="宋体"/>
                <w:kern w:val="0"/>
                <w:sz w:val="24"/>
                <w:szCs w:val="24"/>
              </w:rPr>
              <w:t>一般公共预算财政拨款</w:t>
            </w:r>
          </w:p>
        </w:tc>
        <w:tc>
          <w:tcPr>
            <w:tcW w:w="2280" w:type="dxa"/>
            <w:tcBorders>
              <w:top w:val="nil"/>
              <w:left w:val="nil"/>
              <w:bottom w:val="single" w:color="auto" w:sz="4" w:space="0"/>
              <w:right w:val="single" w:color="auto" w:sz="4" w:space="0"/>
            </w:tcBorders>
            <w:vAlign w:val="center"/>
          </w:tcPr>
          <w:p>
            <w:pPr>
              <w:widowControl/>
              <w:jc w:val="center"/>
              <w:rPr>
                <w:rFonts w:cs="宋体"/>
                <w:kern w:val="0"/>
                <w:sz w:val="24"/>
                <w:szCs w:val="24"/>
              </w:rPr>
            </w:pPr>
            <w:r>
              <w:rPr>
                <w:rFonts w:hint="eastAsia" w:ascii="宋体" w:hAnsi="宋体"/>
                <w:kern w:val="0"/>
                <w:sz w:val="24"/>
                <w:szCs w:val="24"/>
              </w:rPr>
              <w:t>一般公共预算财政拨款</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一、基本支出</w:t>
            </w:r>
          </w:p>
        </w:tc>
        <w:tc>
          <w:tcPr>
            <w:tcW w:w="27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17,195,960.00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19,288,234.68</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人员经费</w:t>
            </w:r>
          </w:p>
        </w:tc>
        <w:tc>
          <w:tcPr>
            <w:tcW w:w="27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15,455,960.00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16,213,671.53</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公用经费</w:t>
            </w:r>
          </w:p>
        </w:tc>
        <w:tc>
          <w:tcPr>
            <w:tcW w:w="27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1,740,000.00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3,074,563.15</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二、项目支出</w:t>
            </w:r>
          </w:p>
        </w:tc>
        <w:tc>
          <w:tcPr>
            <w:tcW w:w="27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3,990,000.00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3,990,000.00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经济分类支出合计</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20,838,510.41</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一、工资福利支出</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15,605,663.53</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二、商品和服务支出</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4,506,784.48</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三、对个人和家庭的补助</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608,008.00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四、债务利息及费用支出</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五、资本性支出（基本建设）</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六、资本性支出</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118,054.40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七、对企业补助（基本建设）</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八、对企业补助</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hint="eastAsia" w:eastAsia="宋体" w:cs="宋体"/>
                <w:kern w:val="0"/>
                <w:sz w:val="24"/>
                <w:szCs w:val="24"/>
                <w:lang w:eastAsia="zh-CN"/>
              </w:rPr>
            </w:pPr>
            <w:r>
              <w:rPr>
                <w:rFonts w:hint="eastAsia" w:ascii="宋体" w:hAnsi="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九、对社会保障基金补助</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十、其他支出</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w:t>
            </w: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p>
        </w:tc>
        <w:tc>
          <w:tcPr>
            <w:tcW w:w="2280"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本年支出合计</w:t>
            </w:r>
          </w:p>
        </w:tc>
        <w:tc>
          <w:tcPr>
            <w:tcW w:w="271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21,185,960.00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20,838,510.41</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年末财政拨款结转和结余</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0</w:t>
            </w:r>
          </w:p>
        </w:tc>
        <w:tc>
          <w:tcPr>
            <w:tcW w:w="2280" w:type="dxa"/>
            <w:tcBorders>
              <w:top w:val="nil"/>
              <w:left w:val="nil"/>
              <w:bottom w:val="single" w:color="auto" w:sz="4" w:space="0"/>
              <w:right w:val="single" w:color="auto" w:sz="4" w:space="0"/>
            </w:tcBorders>
            <w:noWrap/>
            <w:vAlign w:val="center"/>
          </w:tcPr>
          <w:p>
            <w:pPr>
              <w:widowControl/>
              <w:jc w:val="center"/>
              <w:rPr>
                <w:rFonts w:hint="eastAsia" w:eastAsia="宋体" w:cs="宋体"/>
                <w:kern w:val="0"/>
                <w:sz w:val="24"/>
                <w:szCs w:val="24"/>
                <w:lang w:eastAsia="zh-CN"/>
              </w:rPr>
            </w:pPr>
            <w:r>
              <w:rPr>
                <w:rFonts w:hint="eastAsia" w:ascii="宋体" w:hAnsi="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150" w:type="dxa"/>
            <w:tcBorders>
              <w:top w:val="nil"/>
              <w:left w:val="single" w:color="auto" w:sz="4" w:space="0"/>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kern w:val="0"/>
                <w:sz w:val="24"/>
                <w:szCs w:val="24"/>
              </w:rPr>
              <w:t>总计</w:t>
            </w:r>
          </w:p>
        </w:tc>
        <w:tc>
          <w:tcPr>
            <w:tcW w:w="2711" w:type="dxa"/>
            <w:tcBorders>
              <w:top w:val="nil"/>
              <w:left w:val="nil"/>
              <w:bottom w:val="single" w:color="auto" w:sz="4" w:space="0"/>
              <w:right w:val="single" w:color="auto" w:sz="4" w:space="0"/>
            </w:tcBorders>
            <w:noWrap/>
            <w:vAlign w:val="center"/>
          </w:tcPr>
          <w:p>
            <w:pPr>
              <w:widowControl/>
              <w:jc w:val="center"/>
              <w:rPr>
                <w:rFonts w:cs="宋体"/>
                <w:kern w:val="0"/>
                <w:sz w:val="24"/>
                <w:szCs w:val="24"/>
              </w:rPr>
            </w:pPr>
            <w:r>
              <w:rPr>
                <w:rFonts w:hint="eastAsia" w:ascii="宋体" w:hAnsi="宋体" w:eastAsia="宋体" w:cs="宋体"/>
                <w:i w:val="0"/>
                <w:iCs w:val="0"/>
                <w:color w:val="000000"/>
                <w:kern w:val="0"/>
                <w:sz w:val="22"/>
                <w:szCs w:val="22"/>
                <w:u w:val="none"/>
                <w:lang w:val="en-US" w:eastAsia="zh-CN" w:bidi="ar"/>
              </w:rPr>
              <w:t>21,185,960.00</w:t>
            </w:r>
          </w:p>
        </w:tc>
        <w:tc>
          <w:tcPr>
            <w:tcW w:w="228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20,838,510.41</w:t>
            </w:r>
          </w:p>
        </w:tc>
      </w:tr>
    </w:tbl>
    <w:p>
      <w:pPr>
        <w:autoSpaceDE w:val="0"/>
        <w:autoSpaceDN w:val="0"/>
        <w:adjustRightInd w:val="0"/>
        <w:spacing w:line="520" w:lineRule="exact"/>
        <w:ind w:firstLine="640"/>
        <w:jc w:val="center"/>
        <w:rPr>
          <w:rFonts w:hint="eastAsia" w:ascii="仿宋" w:eastAsia="仿宋"/>
          <w:sz w:val="32"/>
          <w:szCs w:val="32"/>
        </w:rPr>
      </w:pPr>
    </w:p>
    <w:tbl>
      <w:tblPr>
        <w:tblStyle w:val="2"/>
        <w:tblW w:w="6516" w:type="dxa"/>
        <w:tblInd w:w="93" w:type="dxa"/>
        <w:tblLayout w:type="fixed"/>
        <w:tblCellMar>
          <w:top w:w="0" w:type="dxa"/>
          <w:left w:w="108" w:type="dxa"/>
          <w:bottom w:w="0" w:type="dxa"/>
          <w:right w:w="108" w:type="dxa"/>
        </w:tblCellMar>
      </w:tblPr>
      <w:tblGrid>
        <w:gridCol w:w="2724"/>
        <w:gridCol w:w="1659"/>
        <w:gridCol w:w="2133"/>
      </w:tblGrid>
      <w:tr>
        <w:tblPrEx>
          <w:tblCellMar>
            <w:top w:w="0" w:type="dxa"/>
            <w:left w:w="108" w:type="dxa"/>
            <w:bottom w:w="0" w:type="dxa"/>
            <w:right w:w="108" w:type="dxa"/>
          </w:tblCellMar>
        </w:tblPrEx>
        <w:trPr>
          <w:trHeight w:val="405" w:hRule="atLeast"/>
        </w:trPr>
        <w:tc>
          <w:tcPr>
            <w:tcW w:w="651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cs="宋体"/>
                <w:kern w:val="0"/>
                <w:sz w:val="24"/>
                <w:szCs w:val="24"/>
              </w:rPr>
            </w:pPr>
            <w:r>
              <w:rPr>
                <w:rFonts w:hint="eastAsia" w:ascii="宋体" w:hAnsi="宋体"/>
                <w:kern w:val="0"/>
                <w:sz w:val="24"/>
                <w:szCs w:val="24"/>
              </w:rPr>
              <w:t>收     入</w:t>
            </w:r>
          </w:p>
        </w:tc>
      </w:tr>
      <w:tr>
        <w:tblPrEx>
          <w:tblCellMar>
            <w:top w:w="0" w:type="dxa"/>
            <w:left w:w="108" w:type="dxa"/>
            <w:bottom w:w="0" w:type="dxa"/>
            <w:right w:w="108" w:type="dxa"/>
          </w:tblCellMar>
        </w:tblPrEx>
        <w:trPr>
          <w:trHeight w:val="390" w:hRule="atLeast"/>
        </w:trPr>
        <w:tc>
          <w:tcPr>
            <w:tcW w:w="2724" w:type="dxa"/>
            <w:vMerge w:val="restart"/>
            <w:tcBorders>
              <w:top w:val="nil"/>
              <w:left w:val="single" w:color="000000" w:sz="4" w:space="0"/>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项    目</w:t>
            </w:r>
          </w:p>
        </w:tc>
        <w:tc>
          <w:tcPr>
            <w:tcW w:w="1659" w:type="dxa"/>
            <w:vMerge w:val="restart"/>
            <w:tcBorders>
              <w:top w:val="nil"/>
              <w:left w:val="nil"/>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年初预算数</w:t>
            </w:r>
          </w:p>
        </w:tc>
        <w:tc>
          <w:tcPr>
            <w:tcW w:w="2133" w:type="dxa"/>
            <w:vMerge w:val="restart"/>
            <w:tcBorders>
              <w:top w:val="nil"/>
              <w:left w:val="nil"/>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决算数</w:t>
            </w:r>
          </w:p>
        </w:tc>
      </w:tr>
      <w:tr>
        <w:tblPrEx>
          <w:tblCellMar>
            <w:top w:w="0" w:type="dxa"/>
            <w:left w:w="108" w:type="dxa"/>
            <w:bottom w:w="0" w:type="dxa"/>
            <w:right w:w="108" w:type="dxa"/>
          </w:tblCellMar>
        </w:tblPrEx>
        <w:trPr>
          <w:trHeight w:val="525" w:hRule="atLeast"/>
        </w:trPr>
        <w:tc>
          <w:tcPr>
            <w:tcW w:w="2724" w:type="dxa"/>
            <w:vMerge w:val="continue"/>
            <w:tcBorders>
              <w:top w:val="nil"/>
              <w:left w:val="single" w:color="000000" w:sz="4" w:space="0"/>
              <w:bottom w:val="single" w:color="000000" w:sz="4" w:space="0"/>
              <w:right w:val="single" w:color="000000" w:sz="4" w:space="0"/>
            </w:tcBorders>
            <w:vAlign w:val="center"/>
          </w:tcPr>
          <w:p>
            <w:pPr>
              <w:widowControl/>
              <w:jc w:val="center"/>
              <w:rPr>
                <w:rFonts w:cs="宋体"/>
                <w:kern w:val="0"/>
                <w:sz w:val="24"/>
                <w:szCs w:val="24"/>
              </w:rPr>
            </w:pPr>
          </w:p>
        </w:tc>
        <w:tc>
          <w:tcPr>
            <w:tcW w:w="1659" w:type="dxa"/>
            <w:vMerge w:val="continue"/>
            <w:tcBorders>
              <w:top w:val="nil"/>
              <w:left w:val="nil"/>
              <w:bottom w:val="single" w:color="000000" w:sz="4" w:space="0"/>
              <w:right w:val="single" w:color="000000" w:sz="4" w:space="0"/>
            </w:tcBorders>
            <w:vAlign w:val="center"/>
          </w:tcPr>
          <w:p>
            <w:pPr>
              <w:widowControl/>
              <w:jc w:val="center"/>
              <w:rPr>
                <w:rFonts w:cs="宋体"/>
                <w:kern w:val="0"/>
                <w:sz w:val="24"/>
                <w:szCs w:val="24"/>
              </w:rPr>
            </w:pPr>
          </w:p>
        </w:tc>
        <w:tc>
          <w:tcPr>
            <w:tcW w:w="2133" w:type="dxa"/>
            <w:vMerge w:val="continue"/>
            <w:tcBorders>
              <w:top w:val="nil"/>
              <w:left w:val="nil"/>
              <w:bottom w:val="single" w:color="000000" w:sz="4" w:space="0"/>
              <w:right w:val="single" w:color="000000" w:sz="4" w:space="0"/>
            </w:tcBorders>
            <w:vAlign w:val="center"/>
          </w:tcPr>
          <w:p>
            <w:pPr>
              <w:widowControl/>
              <w:jc w:val="center"/>
              <w:rPr>
                <w:rFonts w:cs="宋体"/>
                <w:kern w:val="0"/>
                <w:sz w:val="24"/>
                <w:szCs w:val="24"/>
              </w:rPr>
            </w:pPr>
          </w:p>
        </w:tc>
      </w:tr>
      <w:tr>
        <w:tblPrEx>
          <w:tblCellMar>
            <w:top w:w="0" w:type="dxa"/>
            <w:left w:w="108" w:type="dxa"/>
            <w:bottom w:w="0" w:type="dxa"/>
            <w:right w:w="108" w:type="dxa"/>
          </w:tblCellMar>
        </w:tblPrEx>
        <w:trPr>
          <w:trHeight w:val="1425" w:hRule="atLeast"/>
        </w:trPr>
        <w:tc>
          <w:tcPr>
            <w:tcW w:w="2724" w:type="dxa"/>
            <w:tcBorders>
              <w:top w:val="nil"/>
              <w:left w:val="single" w:color="000000" w:sz="4" w:space="0"/>
              <w:bottom w:val="single" w:color="000000" w:sz="4" w:space="0"/>
              <w:right w:val="single" w:color="000000" w:sz="4" w:space="0"/>
            </w:tcBorders>
            <w:vAlign w:val="center"/>
          </w:tcPr>
          <w:p>
            <w:pPr>
              <w:widowControl/>
              <w:jc w:val="center"/>
              <w:rPr>
                <w:rFonts w:cs="宋体"/>
                <w:kern w:val="0"/>
                <w:sz w:val="24"/>
                <w:szCs w:val="24"/>
              </w:rPr>
            </w:pPr>
            <w:r>
              <w:rPr>
                <w:rFonts w:hint="eastAsia" w:ascii="宋体" w:hAnsi="宋体"/>
                <w:kern w:val="0"/>
                <w:sz w:val="24"/>
                <w:szCs w:val="24"/>
              </w:rPr>
              <w:t>一般公共预算财政拨款</w:t>
            </w:r>
          </w:p>
        </w:tc>
        <w:tc>
          <w:tcPr>
            <w:tcW w:w="16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21,185,960.00</w:t>
            </w:r>
          </w:p>
        </w:tc>
        <w:tc>
          <w:tcPr>
            <w:tcW w:w="213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bookmarkStart w:id="0" w:name="_GoBack"/>
            <w:bookmarkEnd w:id="0"/>
            <w:r>
              <w:rPr>
                <w:rFonts w:hint="eastAsia" w:ascii="宋体" w:hAnsi="宋体" w:eastAsia="宋体" w:cs="宋体"/>
                <w:i w:val="0"/>
                <w:iCs w:val="0"/>
                <w:color w:val="000000"/>
                <w:kern w:val="0"/>
                <w:sz w:val="22"/>
                <w:szCs w:val="22"/>
                <w:u w:val="none"/>
                <w:lang w:val="en-US" w:eastAsia="zh-CN" w:bidi="ar"/>
              </w:rPr>
              <w:t>18,754,014.57</w:t>
            </w:r>
          </w:p>
        </w:tc>
      </w:tr>
    </w:tbl>
    <w:p>
      <w:pPr>
        <w:autoSpaceDE w:val="0"/>
        <w:autoSpaceDN w:val="0"/>
        <w:adjustRightInd w:val="0"/>
        <w:spacing w:line="520" w:lineRule="exact"/>
        <w:ind w:firstLine="640"/>
        <w:rPr>
          <w:rFonts w:hint="eastAsia" w:ascii="仿宋" w:eastAsia="仿宋"/>
          <w:sz w:val="32"/>
          <w:szCs w:val="32"/>
        </w:rPr>
      </w:pPr>
      <w:r>
        <w:rPr>
          <w:rFonts w:hint="eastAsia" w:ascii="仿宋" w:eastAsia="仿宋"/>
          <w:sz w:val="32"/>
          <w:szCs w:val="32"/>
        </w:rPr>
        <w:t xml:space="preserve"> </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2）差异原因分析。差异较大的应分析到具体收入支出功能科目和具体单位。</w:t>
      </w:r>
    </w:p>
    <w:p>
      <w:pPr>
        <w:autoSpaceDE w:val="0"/>
        <w:autoSpaceDN w:val="0"/>
        <w:adjustRightInd w:val="0"/>
        <w:spacing w:line="520" w:lineRule="exact"/>
        <w:ind w:firstLine="643"/>
        <w:rPr>
          <w:rFonts w:ascii="仿宋" w:eastAsia="仿宋" w:cs="宋体"/>
          <w:sz w:val="32"/>
          <w:szCs w:val="32"/>
        </w:rPr>
      </w:pPr>
      <w:r>
        <w:rPr>
          <w:rFonts w:hint="eastAsia" w:ascii="仿宋_GB2312" w:eastAsia="仿宋_GB2312"/>
          <w:b/>
          <w:sz w:val="32"/>
          <w:szCs w:val="32"/>
        </w:rPr>
        <w:t>2．收入支出结构分析。</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1）各项收入占总收入的比重，各项支出占总支出的比重（可分别制作饼状图）。</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2）收入支出按部门所属单位分布情况（可列表）。</w:t>
      </w:r>
    </w:p>
    <w:p>
      <w:pPr>
        <w:autoSpaceDE w:val="0"/>
        <w:autoSpaceDN w:val="0"/>
        <w:adjustRightInd w:val="0"/>
        <w:spacing w:line="520" w:lineRule="exact"/>
        <w:ind w:firstLine="643"/>
        <w:rPr>
          <w:rFonts w:eastAsia="仿宋_GB2312"/>
          <w:b/>
          <w:sz w:val="32"/>
          <w:szCs w:val="32"/>
        </w:rPr>
      </w:pPr>
      <w:r>
        <w:rPr>
          <w:rFonts w:hint="eastAsia" w:ascii="仿宋_GB2312" w:eastAsia="仿宋_GB2312"/>
          <w:b/>
          <w:sz w:val="32"/>
          <w:szCs w:val="32"/>
        </w:rPr>
        <w:t>3．支出按经济分类科目分析。</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1）</w:t>
      </w:r>
      <w:r>
        <w:rPr>
          <w:rFonts w:eastAsia="仿宋"/>
          <w:b/>
          <w:sz w:val="32"/>
          <w:szCs w:val="32"/>
        </w:rPr>
        <w:t>“</w:t>
      </w:r>
      <w:r>
        <w:rPr>
          <w:rFonts w:hint="eastAsia" w:ascii="仿宋" w:hAnsi="仿宋" w:eastAsia="仿宋"/>
          <w:sz w:val="32"/>
          <w:szCs w:val="32"/>
        </w:rPr>
        <w:t>三公</w:t>
      </w:r>
      <w:r>
        <w:rPr>
          <w:rFonts w:eastAsia="仿宋"/>
          <w:b/>
          <w:sz w:val="32"/>
          <w:szCs w:val="32"/>
        </w:rPr>
        <w:t>”</w:t>
      </w:r>
      <w:r>
        <w:rPr>
          <w:rFonts w:hint="eastAsia" w:ascii="仿宋" w:hAnsi="仿宋" w:eastAsia="仿宋"/>
          <w:sz w:val="32"/>
          <w:szCs w:val="32"/>
        </w:rPr>
        <w:t>经费支出情况：</w:t>
      </w:r>
      <w:r>
        <w:rPr>
          <w:rFonts w:hint="eastAsia" w:ascii="仿宋" w:eastAsia="仿宋"/>
          <w:sz w:val="32"/>
          <w:szCs w:val="32"/>
        </w:rPr>
        <w:t>202</w:t>
      </w:r>
      <w:r>
        <w:rPr>
          <w:rFonts w:hint="eastAsia" w:ascii="仿宋" w:eastAsia="仿宋"/>
          <w:sz w:val="32"/>
          <w:szCs w:val="32"/>
          <w:lang w:val="en-US" w:eastAsia="zh-CN"/>
        </w:rPr>
        <w:t>1</w:t>
      </w:r>
      <w:r>
        <w:rPr>
          <w:rFonts w:hint="eastAsia" w:ascii="仿宋" w:eastAsia="仿宋"/>
          <w:sz w:val="32"/>
          <w:szCs w:val="32"/>
        </w:rPr>
        <w:t>年，</w:t>
      </w:r>
      <w:r>
        <w:rPr>
          <w:rFonts w:eastAsia="仿宋"/>
          <w:sz w:val="32"/>
          <w:szCs w:val="32"/>
        </w:rPr>
        <w:t>“</w:t>
      </w:r>
      <w:r>
        <w:rPr>
          <w:rFonts w:hint="eastAsia" w:ascii="仿宋" w:hAnsi="仿宋" w:eastAsia="仿宋"/>
          <w:sz w:val="32"/>
          <w:szCs w:val="32"/>
        </w:rPr>
        <w:t>三公</w:t>
      </w:r>
      <w:r>
        <w:rPr>
          <w:rFonts w:eastAsia="仿宋"/>
          <w:sz w:val="32"/>
          <w:szCs w:val="32"/>
        </w:rPr>
        <w:t>”</w:t>
      </w:r>
      <w:r>
        <w:rPr>
          <w:rFonts w:hint="eastAsia" w:ascii="仿宋" w:hAnsi="仿宋" w:eastAsia="仿宋"/>
          <w:sz w:val="32"/>
          <w:szCs w:val="32"/>
        </w:rPr>
        <w:t>经费完成</w:t>
      </w:r>
      <w:r>
        <w:rPr>
          <w:rFonts w:hint="eastAsia" w:ascii="仿宋" w:eastAsia="仿宋"/>
          <w:sz w:val="32"/>
          <w:szCs w:val="32"/>
          <w:lang w:val="en-US" w:eastAsia="zh-CN"/>
        </w:rPr>
        <w:t>130959</w:t>
      </w:r>
      <w:r>
        <w:rPr>
          <w:rFonts w:hint="eastAsia" w:ascii="仿宋" w:eastAsia="仿宋"/>
          <w:sz w:val="32"/>
          <w:szCs w:val="32"/>
        </w:rPr>
        <w:t>元，比上年减</w:t>
      </w:r>
      <w:r>
        <w:rPr>
          <w:rFonts w:hint="eastAsia" w:ascii="仿宋" w:eastAsia="仿宋"/>
          <w:sz w:val="32"/>
          <w:szCs w:val="32"/>
          <w:lang w:eastAsia="zh-CN"/>
        </w:rPr>
        <w:t>少</w:t>
      </w:r>
      <w:r>
        <w:rPr>
          <w:rFonts w:hint="eastAsia" w:ascii="仿宋" w:eastAsia="仿宋"/>
          <w:sz w:val="32"/>
          <w:szCs w:val="32"/>
          <w:lang w:val="en-US" w:eastAsia="zh-CN"/>
        </w:rPr>
        <w:t>9691.5</w:t>
      </w:r>
      <w:r>
        <w:rPr>
          <w:rFonts w:hint="eastAsia" w:ascii="仿宋" w:eastAsia="仿宋"/>
          <w:sz w:val="32"/>
          <w:szCs w:val="32"/>
        </w:rPr>
        <w:t>元，下降</w:t>
      </w:r>
      <w:r>
        <w:rPr>
          <w:rFonts w:hint="eastAsia" w:ascii="仿宋" w:eastAsia="仿宋"/>
          <w:sz w:val="32"/>
          <w:szCs w:val="32"/>
          <w:lang w:val="en-US" w:eastAsia="zh-CN"/>
        </w:rPr>
        <w:t>0.69</w:t>
      </w:r>
      <w:r>
        <w:rPr>
          <w:rFonts w:hint="eastAsia" w:ascii="仿宋" w:eastAsia="仿宋"/>
          <w:sz w:val="32"/>
          <w:szCs w:val="32"/>
        </w:rPr>
        <w:t>%，增减变化的主要原因是：节约开支</w:t>
      </w:r>
      <w:r>
        <w:rPr>
          <w:rFonts w:hint="eastAsia" w:ascii="仿宋" w:hAnsi="仿宋" w:eastAsia="仿宋"/>
          <w:sz w:val="32"/>
          <w:szCs w:val="32"/>
        </w:rPr>
        <w:t>。其中：</w:t>
      </w:r>
      <w:r>
        <w:rPr>
          <w:rFonts w:hint="eastAsia" w:ascii="仿宋" w:hAnsi="仿宋" w:eastAsia="仿宋"/>
          <w:b/>
          <w:sz w:val="32"/>
          <w:szCs w:val="32"/>
        </w:rPr>
        <w:t>因公出国（境）费</w:t>
      </w:r>
      <w:r>
        <w:rPr>
          <w:rFonts w:hint="eastAsia" w:ascii="仿宋" w:hAnsi="仿宋" w:eastAsia="仿宋"/>
          <w:sz w:val="32"/>
          <w:szCs w:val="32"/>
        </w:rPr>
        <w:t>完成</w:t>
      </w:r>
      <w:r>
        <w:rPr>
          <w:rFonts w:hint="eastAsia" w:ascii="仿宋" w:eastAsia="仿宋"/>
          <w:sz w:val="32"/>
          <w:szCs w:val="32"/>
        </w:rPr>
        <w:t>0元，比上年增减0元，增加下降0%，增减变化的主要原因是：无出国出境。</w:t>
      </w:r>
      <w:r>
        <w:rPr>
          <w:rFonts w:hint="eastAsia" w:ascii="仿宋" w:hAnsi="仿宋" w:eastAsia="仿宋"/>
          <w:b/>
          <w:sz w:val="32"/>
          <w:szCs w:val="32"/>
        </w:rPr>
        <w:t>公务接待费</w:t>
      </w:r>
      <w:r>
        <w:rPr>
          <w:rFonts w:hint="eastAsia" w:ascii="仿宋" w:hAnsi="仿宋" w:eastAsia="仿宋"/>
          <w:sz w:val="32"/>
          <w:szCs w:val="32"/>
        </w:rPr>
        <w:t>完成</w:t>
      </w:r>
      <w:r>
        <w:rPr>
          <w:rFonts w:hint="eastAsia" w:ascii="仿宋" w:eastAsia="仿宋"/>
          <w:sz w:val="32"/>
          <w:szCs w:val="32"/>
          <w:lang w:val="en-US" w:eastAsia="zh-CN"/>
        </w:rPr>
        <w:t>130959</w:t>
      </w:r>
      <w:r>
        <w:rPr>
          <w:rFonts w:hint="eastAsia" w:ascii="仿宋" w:eastAsia="仿宋"/>
          <w:sz w:val="32"/>
          <w:szCs w:val="32"/>
        </w:rPr>
        <w:t>元，比上年增减</w:t>
      </w:r>
      <w:r>
        <w:rPr>
          <w:rFonts w:hint="eastAsia" w:ascii="仿宋" w:eastAsia="仿宋"/>
          <w:sz w:val="32"/>
          <w:szCs w:val="32"/>
          <w:lang w:val="en-US" w:eastAsia="zh-CN"/>
        </w:rPr>
        <w:t>9691.5</w:t>
      </w:r>
      <w:r>
        <w:rPr>
          <w:rFonts w:hint="eastAsia" w:ascii="仿宋" w:eastAsia="仿宋"/>
          <w:sz w:val="32"/>
          <w:szCs w:val="32"/>
        </w:rPr>
        <w:t>元，增加下降</w:t>
      </w:r>
      <w:r>
        <w:rPr>
          <w:rFonts w:hint="eastAsia" w:ascii="仿宋" w:eastAsia="仿宋"/>
          <w:sz w:val="32"/>
          <w:szCs w:val="32"/>
          <w:lang w:val="en-US" w:eastAsia="zh-CN"/>
        </w:rPr>
        <w:t>0.69</w:t>
      </w:r>
      <w:r>
        <w:rPr>
          <w:rFonts w:hint="eastAsia" w:ascii="仿宋" w:eastAsia="仿宋"/>
          <w:sz w:val="32"/>
          <w:szCs w:val="32"/>
        </w:rPr>
        <w:t>%，增减变化的主要原因是：严格控制费用</w:t>
      </w:r>
      <w:r>
        <w:rPr>
          <w:rFonts w:hint="eastAsia" w:ascii="仿宋" w:hAnsi="仿宋" w:eastAsia="仿宋"/>
          <w:sz w:val="32"/>
          <w:szCs w:val="32"/>
        </w:rPr>
        <w:t>；</w:t>
      </w:r>
      <w:r>
        <w:rPr>
          <w:rFonts w:hint="eastAsia" w:ascii="仿宋" w:hAnsi="仿宋" w:eastAsia="仿宋"/>
          <w:b/>
          <w:sz w:val="32"/>
          <w:szCs w:val="32"/>
        </w:rPr>
        <w:t>公务用车购置及运行维护费</w:t>
      </w:r>
      <w:r>
        <w:rPr>
          <w:rFonts w:hint="eastAsia" w:ascii="仿宋" w:hAnsi="仿宋" w:eastAsia="仿宋"/>
          <w:sz w:val="32"/>
          <w:szCs w:val="32"/>
        </w:rPr>
        <w:t>完成</w:t>
      </w:r>
      <w:r>
        <w:rPr>
          <w:rFonts w:hint="eastAsia" w:ascii="仿宋" w:eastAsia="仿宋"/>
          <w:sz w:val="32"/>
          <w:szCs w:val="32"/>
        </w:rPr>
        <w:t>0元，比上年增减0元，增加下降0%，增减变化的主要原因是：无公车</w:t>
      </w:r>
      <w:r>
        <w:rPr>
          <w:rFonts w:hint="eastAsia" w:ascii="仿宋" w:hAnsi="仿宋" w:eastAsia="仿宋"/>
          <w:sz w:val="32"/>
          <w:szCs w:val="32"/>
        </w:rPr>
        <w:t>。</w:t>
      </w:r>
    </w:p>
    <w:p>
      <w:pPr>
        <w:autoSpaceDE w:val="0"/>
        <w:autoSpaceDN w:val="0"/>
        <w:adjustRightInd w:val="0"/>
        <w:ind w:firstLine="640" w:firstLineChars="200"/>
        <w:jc w:val="left"/>
        <w:rPr>
          <w:rFonts w:eastAsia="仿宋"/>
          <w:sz w:val="32"/>
          <w:szCs w:val="32"/>
        </w:rPr>
      </w:pPr>
      <w:r>
        <w:rPr>
          <w:rFonts w:hint="eastAsia" w:ascii="仿宋" w:hAnsi="仿宋" w:eastAsia="仿宋"/>
          <w:sz w:val="32"/>
          <w:szCs w:val="32"/>
        </w:rPr>
        <w:t>（</w:t>
      </w:r>
      <w:r>
        <w:rPr>
          <w:rFonts w:hint="eastAsia" w:ascii="仿宋" w:eastAsia="仿宋"/>
          <w:sz w:val="32"/>
          <w:szCs w:val="32"/>
        </w:rPr>
        <w:t>2）会议费支出情况：202</w:t>
      </w:r>
      <w:r>
        <w:rPr>
          <w:rFonts w:hint="eastAsia" w:ascii="仿宋" w:eastAsia="仿宋"/>
          <w:sz w:val="32"/>
          <w:szCs w:val="32"/>
          <w:lang w:val="en-US" w:eastAsia="zh-CN"/>
        </w:rPr>
        <w:t>1</w:t>
      </w:r>
      <w:r>
        <w:rPr>
          <w:rFonts w:hint="eastAsia" w:ascii="仿宋" w:eastAsia="仿宋"/>
          <w:sz w:val="32"/>
          <w:szCs w:val="32"/>
        </w:rPr>
        <w:t>年会议费完成</w:t>
      </w:r>
      <w:r>
        <w:rPr>
          <w:rFonts w:hint="eastAsia" w:ascii="仿宋" w:hAnsi="仿宋" w:eastAsia="仿宋"/>
          <w:sz w:val="28"/>
          <w:szCs w:val="28"/>
          <w:lang w:val="en-US" w:eastAsia="zh-CN"/>
        </w:rPr>
        <w:t>16618</w:t>
      </w:r>
      <w:r>
        <w:rPr>
          <w:rFonts w:hint="eastAsia" w:ascii="仿宋" w:hAnsi="仿宋" w:eastAsia="仿宋"/>
          <w:sz w:val="32"/>
          <w:szCs w:val="32"/>
        </w:rPr>
        <w:t>元，比上年减</w:t>
      </w:r>
      <w:r>
        <w:rPr>
          <w:rFonts w:hint="eastAsia" w:ascii="仿宋" w:hAnsi="仿宋" w:eastAsia="仿宋"/>
          <w:sz w:val="32"/>
          <w:szCs w:val="32"/>
          <w:lang w:eastAsia="zh-CN"/>
        </w:rPr>
        <w:t>少</w:t>
      </w:r>
      <w:r>
        <w:rPr>
          <w:rFonts w:hint="eastAsia" w:ascii="仿宋" w:hAnsi="仿宋" w:eastAsia="仿宋"/>
          <w:sz w:val="28"/>
          <w:szCs w:val="28"/>
          <w:lang w:val="en-US" w:eastAsia="zh-CN"/>
        </w:rPr>
        <w:t>14130</w:t>
      </w:r>
      <w:r>
        <w:rPr>
          <w:rFonts w:hint="eastAsia" w:ascii="仿宋" w:hAnsi="仿宋" w:eastAsia="仿宋"/>
          <w:sz w:val="32"/>
          <w:szCs w:val="32"/>
        </w:rPr>
        <w:t>元，下降</w:t>
      </w:r>
      <w:r>
        <w:rPr>
          <w:rFonts w:hint="eastAsia" w:ascii="仿宋" w:hAnsi="仿宋" w:eastAsia="仿宋"/>
          <w:sz w:val="32"/>
          <w:szCs w:val="32"/>
          <w:lang w:val="en-US" w:eastAsia="zh-CN"/>
        </w:rPr>
        <w:t>46</w:t>
      </w:r>
      <w:r>
        <w:rPr>
          <w:rFonts w:hint="eastAsia" w:ascii="仿宋" w:hAnsi="仿宋" w:eastAsia="仿宋"/>
          <w:sz w:val="28"/>
          <w:szCs w:val="28"/>
        </w:rPr>
        <w:t>%，</w:t>
      </w:r>
      <w:r>
        <w:rPr>
          <w:rFonts w:hint="eastAsia" w:ascii="仿宋" w:hAnsi="仿宋" w:eastAsia="仿宋"/>
          <w:sz w:val="32"/>
          <w:szCs w:val="32"/>
        </w:rPr>
        <w:t>增减变化的主要原因是：</w:t>
      </w:r>
      <w:r>
        <w:rPr>
          <w:rFonts w:hint="eastAsia" w:ascii="仿宋" w:hAnsi="仿宋" w:eastAsia="仿宋"/>
          <w:sz w:val="32"/>
          <w:szCs w:val="32"/>
          <w:lang w:eastAsia="zh-CN"/>
        </w:rPr>
        <w:t>严格控制会议规模与人数</w:t>
      </w:r>
      <w:r>
        <w:rPr>
          <w:rFonts w:hint="eastAsia" w:ascii="仿宋" w:hAnsi="仿宋" w:eastAsia="仿宋"/>
          <w:sz w:val="32"/>
          <w:szCs w:val="32"/>
        </w:rPr>
        <w:t>。</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w:t>
      </w:r>
      <w:r>
        <w:rPr>
          <w:rFonts w:hint="eastAsia" w:ascii="仿宋" w:eastAsia="仿宋"/>
          <w:sz w:val="32"/>
          <w:szCs w:val="32"/>
        </w:rPr>
        <w:t>3）培训费支出情况：202</w:t>
      </w:r>
      <w:r>
        <w:rPr>
          <w:rFonts w:hint="eastAsia" w:ascii="仿宋" w:eastAsia="仿宋"/>
          <w:sz w:val="32"/>
          <w:szCs w:val="32"/>
          <w:lang w:val="en-US" w:eastAsia="zh-CN"/>
        </w:rPr>
        <w:t>1</w:t>
      </w:r>
      <w:r>
        <w:rPr>
          <w:rFonts w:hint="eastAsia" w:ascii="仿宋" w:eastAsia="仿宋"/>
          <w:sz w:val="32"/>
          <w:szCs w:val="32"/>
        </w:rPr>
        <w:t>年培训费完成</w:t>
      </w:r>
      <w:r>
        <w:rPr>
          <w:rFonts w:hint="eastAsia" w:ascii="仿宋" w:hAnsi="仿宋" w:eastAsia="仿宋"/>
          <w:sz w:val="28"/>
          <w:szCs w:val="28"/>
          <w:lang w:val="en-US" w:eastAsia="zh-CN"/>
        </w:rPr>
        <w:t>27459</w:t>
      </w:r>
      <w:r>
        <w:rPr>
          <w:rFonts w:hint="eastAsia" w:ascii="仿宋" w:hAnsi="仿宋" w:eastAsia="仿宋"/>
          <w:sz w:val="32"/>
          <w:szCs w:val="32"/>
        </w:rPr>
        <w:t>元，比上年增加</w:t>
      </w:r>
      <w:r>
        <w:rPr>
          <w:rFonts w:hint="eastAsia" w:ascii="仿宋" w:hAnsi="仿宋" w:eastAsia="仿宋"/>
          <w:sz w:val="28"/>
          <w:szCs w:val="28"/>
          <w:lang w:val="en-US" w:eastAsia="zh-CN"/>
        </w:rPr>
        <w:t>22109</w:t>
      </w:r>
      <w:r>
        <w:rPr>
          <w:rFonts w:hint="eastAsia" w:ascii="仿宋" w:hAnsi="仿宋" w:eastAsia="仿宋"/>
          <w:sz w:val="32"/>
          <w:szCs w:val="32"/>
        </w:rPr>
        <w:t>元，增加</w:t>
      </w:r>
      <w:r>
        <w:rPr>
          <w:rFonts w:hint="eastAsia" w:ascii="仿宋" w:hAnsi="仿宋" w:eastAsia="仿宋"/>
          <w:sz w:val="32"/>
          <w:szCs w:val="32"/>
          <w:lang w:val="en-US" w:eastAsia="zh-CN"/>
        </w:rPr>
        <w:t>413</w:t>
      </w:r>
      <w:r>
        <w:rPr>
          <w:rFonts w:hint="eastAsia" w:ascii="仿宋" w:hAnsi="仿宋" w:eastAsia="仿宋"/>
          <w:sz w:val="28"/>
          <w:szCs w:val="28"/>
        </w:rPr>
        <w:t>%，</w:t>
      </w:r>
      <w:r>
        <w:rPr>
          <w:rFonts w:hint="eastAsia" w:ascii="仿宋" w:hAnsi="仿宋" w:eastAsia="仿宋"/>
          <w:sz w:val="32"/>
          <w:szCs w:val="32"/>
        </w:rPr>
        <w:t>增减变化的主要原因是：城市片区棚改工作培训与财务电子卖场培训物价活动的开展。</w:t>
      </w:r>
    </w:p>
    <w:p>
      <w:pPr>
        <w:autoSpaceDE w:val="0"/>
        <w:autoSpaceDN w:val="0"/>
        <w:adjustRightInd w:val="0"/>
        <w:spacing w:line="520" w:lineRule="exact"/>
        <w:ind w:firstLine="640"/>
        <w:rPr>
          <w:rFonts w:eastAsia="仿宋" w:cs="宋体"/>
          <w:sz w:val="32"/>
          <w:szCs w:val="32"/>
        </w:rPr>
      </w:pPr>
      <w:r>
        <w:rPr>
          <w:rFonts w:hint="eastAsia" w:ascii="仿宋" w:hAnsi="仿宋" w:eastAsia="仿宋"/>
          <w:sz w:val="32"/>
          <w:szCs w:val="32"/>
        </w:rPr>
        <w:t>（</w:t>
      </w:r>
      <w:r>
        <w:rPr>
          <w:rFonts w:hint="eastAsia" w:ascii="仿宋" w:eastAsia="仿宋"/>
          <w:sz w:val="32"/>
          <w:szCs w:val="32"/>
        </w:rPr>
        <w:t>4）其他对部门（单位）影响较大的支出情况。无</w:t>
      </w:r>
    </w:p>
    <w:p>
      <w:pPr>
        <w:autoSpaceDE w:val="0"/>
        <w:autoSpaceDN w:val="0"/>
        <w:adjustRightInd w:val="0"/>
        <w:spacing w:line="520" w:lineRule="exact"/>
        <w:ind w:firstLine="640"/>
        <w:rPr>
          <w:rFonts w:hint="eastAsia" w:eastAsia="仿宋"/>
          <w:sz w:val="32"/>
          <w:szCs w:val="32"/>
        </w:rPr>
      </w:pPr>
      <w:r>
        <w:rPr>
          <w:rFonts w:hint="eastAsia" w:ascii="仿宋" w:hAnsi="仿宋" w:eastAsia="仿宋"/>
          <w:sz w:val="32"/>
          <w:szCs w:val="32"/>
        </w:rPr>
        <w:t>（</w:t>
      </w:r>
      <w:r>
        <w:rPr>
          <w:rFonts w:hint="eastAsia" w:ascii="仿宋" w:eastAsia="仿宋"/>
          <w:sz w:val="32"/>
          <w:szCs w:val="32"/>
        </w:rPr>
        <w:t>5）重点经济分类支出中存在的问题及改进措施。无</w:t>
      </w:r>
    </w:p>
    <w:p>
      <w:pPr>
        <w:autoSpaceDE w:val="0"/>
        <w:autoSpaceDN w:val="0"/>
        <w:adjustRightInd w:val="0"/>
        <w:spacing w:line="520" w:lineRule="exact"/>
        <w:ind w:firstLine="643"/>
        <w:rPr>
          <w:rFonts w:hint="eastAsia" w:eastAsia="仿宋"/>
          <w:sz w:val="32"/>
          <w:szCs w:val="32"/>
        </w:rPr>
      </w:pPr>
      <w:r>
        <w:rPr>
          <w:rFonts w:hint="eastAsia" w:ascii="仿宋_GB2312" w:eastAsia="仿宋_GB2312"/>
          <w:b/>
          <w:sz w:val="32"/>
          <w:szCs w:val="32"/>
        </w:rPr>
        <w:t>4.财政拨款收入、支出分析。</w:t>
      </w:r>
      <w:r>
        <w:rPr>
          <w:rFonts w:hint="eastAsia" w:ascii="仿宋" w:hAnsi="仿宋" w:eastAsia="仿宋"/>
          <w:sz w:val="32"/>
          <w:szCs w:val="32"/>
        </w:rPr>
        <w:t>分析财政拨款收入、支出总体情况，支出要按照基本支出和项目支出分析具体构成及特点。</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（三）年末结转和结余情况。</w:t>
      </w:r>
    </w:p>
    <w:p>
      <w:pPr>
        <w:autoSpaceDE w:val="0"/>
        <w:autoSpaceDN w:val="0"/>
        <w:adjustRightInd w:val="0"/>
        <w:spacing w:line="520" w:lineRule="exact"/>
        <w:ind w:firstLine="643"/>
        <w:rPr>
          <w:rFonts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1</w:t>
      </w:r>
      <w:r>
        <w:rPr>
          <w:rFonts w:hint="eastAsia" w:ascii="仿宋" w:hAnsi="仿宋" w:eastAsia="仿宋"/>
          <w:sz w:val="32"/>
          <w:szCs w:val="32"/>
        </w:rPr>
        <w:t>年，本单位年末结转和结余资金</w:t>
      </w:r>
      <w:r>
        <w:rPr>
          <w:rFonts w:hint="eastAsia" w:ascii="仿宋" w:hAnsi="仿宋" w:eastAsia="仿宋"/>
          <w:sz w:val="28"/>
          <w:szCs w:val="28"/>
        </w:rPr>
        <w:t>1,407,328.84</w:t>
      </w:r>
      <w:r>
        <w:rPr>
          <w:rFonts w:hint="eastAsia" w:ascii="仿宋" w:hAnsi="仿宋" w:eastAsia="仿宋"/>
          <w:sz w:val="32"/>
          <w:szCs w:val="32"/>
        </w:rPr>
        <w:t>元，比上年增减</w:t>
      </w:r>
      <w:r>
        <w:rPr>
          <w:rFonts w:hint="eastAsia" w:ascii="仿宋" w:hAnsi="仿宋" w:eastAsia="仿宋"/>
          <w:sz w:val="28"/>
          <w:szCs w:val="28"/>
        </w:rPr>
        <w:t>1,407,328.84</w:t>
      </w:r>
      <w:r>
        <w:rPr>
          <w:rFonts w:hint="eastAsia" w:ascii="仿宋" w:hAnsi="仿宋" w:eastAsia="仿宋"/>
          <w:sz w:val="32"/>
          <w:szCs w:val="32"/>
        </w:rPr>
        <w:t>元。增减变化的主要原因是：特设专户的资金结转。</w:t>
      </w:r>
    </w:p>
    <w:p>
      <w:pPr>
        <w:autoSpaceDE w:val="0"/>
        <w:autoSpaceDN w:val="0"/>
        <w:adjustRightInd w:val="0"/>
        <w:spacing w:line="520" w:lineRule="exact"/>
        <w:ind w:firstLine="643"/>
        <w:rPr>
          <w:rFonts w:eastAsia="仿宋"/>
          <w:sz w:val="32"/>
          <w:szCs w:val="32"/>
        </w:rPr>
      </w:pPr>
      <w:r>
        <w:rPr>
          <w:rFonts w:hint="eastAsia" w:ascii="仿宋" w:hAnsi="仿宋" w:eastAsia="仿宋"/>
          <w:sz w:val="32"/>
          <w:szCs w:val="32"/>
        </w:rPr>
        <w:t>根据资金性质其中：基本支出结转</w:t>
      </w:r>
      <w:r>
        <w:rPr>
          <w:rFonts w:hint="eastAsia" w:ascii="仿宋" w:hAnsi="仿宋" w:eastAsia="仿宋"/>
          <w:sz w:val="28"/>
          <w:szCs w:val="28"/>
        </w:rPr>
        <w:t>0</w:t>
      </w:r>
      <w:r>
        <w:rPr>
          <w:rFonts w:hint="eastAsia" w:ascii="仿宋" w:hAnsi="仿宋" w:eastAsia="仿宋"/>
          <w:sz w:val="32"/>
          <w:szCs w:val="32"/>
        </w:rPr>
        <w:t>元，比上年增加减少</w:t>
      </w:r>
      <w:r>
        <w:rPr>
          <w:rFonts w:hint="eastAsia" w:ascii="仿宋" w:hAnsi="仿宋" w:eastAsia="仿宋"/>
          <w:sz w:val="28"/>
          <w:szCs w:val="28"/>
        </w:rPr>
        <w:t>0</w:t>
      </w:r>
      <w:r>
        <w:rPr>
          <w:rFonts w:hint="eastAsia" w:ascii="仿宋" w:hAnsi="仿宋" w:eastAsia="仿宋"/>
          <w:sz w:val="32"/>
          <w:szCs w:val="32"/>
        </w:rPr>
        <w:t>元，增减下降</w:t>
      </w:r>
      <w:r>
        <w:rPr>
          <w:rFonts w:hint="eastAsia" w:ascii="仿宋" w:hAnsi="仿宋" w:eastAsia="仿宋"/>
          <w:sz w:val="28"/>
          <w:szCs w:val="28"/>
        </w:rPr>
        <w:t>0%</w:t>
      </w:r>
      <w:r>
        <w:rPr>
          <w:rFonts w:hint="eastAsia" w:ascii="仿宋" w:hAnsi="仿宋" w:eastAsia="仿宋"/>
          <w:sz w:val="32"/>
          <w:szCs w:val="32"/>
        </w:rPr>
        <w:t>，主要原因：无增加</w:t>
      </w:r>
      <w:r>
        <w:rPr>
          <w:rFonts w:hint="eastAsia" w:ascii="仿宋" w:eastAsia="仿宋"/>
          <w:sz w:val="32"/>
          <w:szCs w:val="32"/>
        </w:rPr>
        <w:t xml:space="preserve">;项目支出结转结余 </w:t>
      </w:r>
      <w:r>
        <w:rPr>
          <w:rFonts w:hint="eastAsia" w:ascii="仿宋" w:hAnsi="仿宋" w:eastAsia="仿宋"/>
          <w:sz w:val="28"/>
          <w:szCs w:val="28"/>
        </w:rPr>
        <w:t>1,407,328.84</w:t>
      </w:r>
      <w:r>
        <w:rPr>
          <w:rFonts w:hint="eastAsia" w:ascii="仿宋" w:hAnsi="仿宋" w:eastAsia="仿宋"/>
          <w:sz w:val="32"/>
          <w:szCs w:val="32"/>
        </w:rPr>
        <w:t>元</w:t>
      </w:r>
      <w:r>
        <w:rPr>
          <w:rFonts w:eastAsia="仿宋"/>
          <w:sz w:val="32"/>
          <w:szCs w:val="32"/>
        </w:rPr>
        <w:t>,</w:t>
      </w:r>
      <w:r>
        <w:rPr>
          <w:rFonts w:hint="eastAsia" w:ascii="仿宋" w:hAnsi="仿宋" w:eastAsia="仿宋"/>
          <w:sz w:val="32"/>
          <w:szCs w:val="32"/>
        </w:rPr>
        <w:t>比上年增加</w:t>
      </w:r>
      <w:r>
        <w:rPr>
          <w:rFonts w:hint="eastAsia" w:ascii="仿宋" w:hAnsi="仿宋" w:eastAsia="仿宋"/>
          <w:sz w:val="28"/>
          <w:szCs w:val="28"/>
        </w:rPr>
        <w:t>1,407,328.84</w:t>
      </w:r>
      <w:r>
        <w:rPr>
          <w:rFonts w:hint="eastAsia" w:ascii="仿宋" w:hAnsi="仿宋" w:eastAsia="仿宋"/>
          <w:sz w:val="32"/>
          <w:szCs w:val="32"/>
        </w:rPr>
        <w:t>元。主要原因：特设专户收职工三金清理医保金与职工历年欠款。</w:t>
      </w:r>
    </w:p>
    <w:p>
      <w:pPr>
        <w:autoSpaceDE w:val="0"/>
        <w:autoSpaceDN w:val="0"/>
        <w:adjustRightInd w:val="0"/>
        <w:spacing w:line="520" w:lineRule="exact"/>
        <w:ind w:firstLine="643"/>
        <w:rPr>
          <w:rFonts w:eastAsia="仿宋"/>
          <w:sz w:val="32"/>
          <w:szCs w:val="32"/>
        </w:rPr>
      </w:pPr>
      <w:r>
        <w:rPr>
          <w:rFonts w:hint="eastAsia" w:ascii="仿宋" w:hAnsi="仿宋" w:eastAsia="仿宋"/>
          <w:sz w:val="32"/>
          <w:szCs w:val="32"/>
        </w:rPr>
        <w:t>根据资金来源划分，其中：一般公共预算财政拨款</w:t>
      </w:r>
      <w:r>
        <w:rPr>
          <w:rFonts w:hint="eastAsia" w:ascii="仿宋" w:hAnsi="仿宋" w:eastAsia="仿宋"/>
          <w:sz w:val="28"/>
          <w:szCs w:val="28"/>
          <w:lang w:val="en-US" w:eastAsia="zh-CN"/>
        </w:rPr>
        <w:t>18754015</w:t>
      </w:r>
      <w:r>
        <w:rPr>
          <w:rFonts w:hint="eastAsia" w:ascii="仿宋" w:hAnsi="仿宋" w:eastAsia="仿宋"/>
          <w:sz w:val="32"/>
          <w:szCs w:val="32"/>
        </w:rPr>
        <w:t>元，比上年减</w:t>
      </w:r>
      <w:r>
        <w:rPr>
          <w:rFonts w:hint="eastAsia" w:ascii="仿宋" w:hAnsi="仿宋" w:eastAsia="仿宋"/>
          <w:sz w:val="32"/>
          <w:szCs w:val="32"/>
          <w:lang w:eastAsia="zh-CN"/>
        </w:rPr>
        <w:t>少</w:t>
      </w:r>
      <w:r>
        <w:rPr>
          <w:rFonts w:hint="eastAsia" w:ascii="仿宋" w:hAnsi="仿宋" w:eastAsia="仿宋"/>
          <w:sz w:val="28"/>
          <w:szCs w:val="28"/>
          <w:lang w:val="en-US" w:eastAsia="zh-CN"/>
        </w:rPr>
        <w:t>506.77</w:t>
      </w:r>
      <w:r>
        <w:rPr>
          <w:rFonts w:hint="eastAsia" w:ascii="仿宋" w:hAnsi="仿宋" w:eastAsia="仿宋"/>
          <w:sz w:val="32"/>
          <w:szCs w:val="32"/>
        </w:rPr>
        <w:t>元，增减变化的主要原因是：</w:t>
      </w:r>
      <w:r>
        <w:rPr>
          <w:rFonts w:hint="eastAsia" w:ascii="仿宋" w:hAnsi="仿宋" w:eastAsia="仿宋"/>
          <w:sz w:val="32"/>
          <w:szCs w:val="32"/>
          <w:lang w:eastAsia="zh-CN"/>
        </w:rPr>
        <w:t>因单位职能职责的调整导致人员减少，</w:t>
      </w:r>
      <w:r>
        <w:rPr>
          <w:rFonts w:hint="eastAsia" w:ascii="仿宋" w:hAnsi="仿宋" w:eastAsia="仿宋"/>
          <w:sz w:val="32"/>
          <w:szCs w:val="32"/>
        </w:rPr>
        <w:t>预算单位的专项项目的项目期未结束</w:t>
      </w:r>
      <w:r>
        <w:rPr>
          <w:rFonts w:hint="eastAsia" w:ascii="仿宋" w:hAnsi="仿宋" w:eastAsia="仿宋"/>
          <w:sz w:val="32"/>
          <w:szCs w:val="32"/>
          <w:lang w:eastAsia="zh-CN"/>
        </w:rPr>
        <w:t>。</w:t>
      </w:r>
      <w:r>
        <w:rPr>
          <w:rFonts w:hint="eastAsia" w:ascii="仿宋" w:hAnsi="仿宋" w:eastAsia="仿宋"/>
          <w:sz w:val="32"/>
          <w:szCs w:val="32"/>
        </w:rPr>
        <w:t>政府性基金预算财政拨款0元，比上年增减0元，增加下降0%，增减变化的主要原因是：无。</w:t>
      </w:r>
    </w:p>
    <w:p>
      <w:pPr>
        <w:autoSpaceDE w:val="0"/>
        <w:autoSpaceDN w:val="0"/>
        <w:adjustRightInd w:val="0"/>
        <w:spacing w:line="520" w:lineRule="exact"/>
        <w:ind w:firstLine="643"/>
        <w:rPr>
          <w:rFonts w:eastAsia="楷体_GB2312"/>
          <w:b/>
          <w:sz w:val="32"/>
          <w:szCs w:val="32"/>
        </w:rPr>
      </w:pPr>
      <w:r>
        <w:rPr>
          <w:rFonts w:ascii="楷体_GB2312" w:hAnsi="楷体_GB2312"/>
          <w:b/>
          <w:sz w:val="32"/>
          <w:szCs w:val="32"/>
        </w:rPr>
        <w:t>（四）当年预算执行中存在问题、原因及改进措施。</w:t>
      </w:r>
    </w:p>
    <w:p>
      <w:pPr>
        <w:autoSpaceDE w:val="0"/>
        <w:autoSpaceDN w:val="0"/>
        <w:adjustRightInd w:val="0"/>
        <w:spacing w:line="520" w:lineRule="exact"/>
        <w:ind w:firstLine="643"/>
        <w:rPr>
          <w:rFonts w:hint="eastAsia" w:eastAsia="楷体_GB2312"/>
          <w:b/>
          <w:sz w:val="32"/>
          <w:szCs w:val="32"/>
          <w:lang w:eastAsia="zh-CN"/>
        </w:rPr>
      </w:pPr>
      <w:r>
        <w:rPr>
          <w:rFonts w:eastAsia="楷体_GB2312"/>
          <w:b/>
          <w:sz w:val="32"/>
          <w:szCs w:val="32"/>
        </w:rPr>
        <w:t xml:space="preserve">  </w:t>
      </w:r>
      <w:r>
        <w:rPr>
          <w:rFonts w:hint="eastAsia" w:eastAsia="楷体_GB2312"/>
          <w:b/>
          <w:sz w:val="32"/>
          <w:szCs w:val="32"/>
          <w:lang w:eastAsia="zh-CN"/>
        </w:rPr>
        <w:t>无问题</w:t>
      </w:r>
    </w:p>
    <w:p>
      <w:pPr>
        <w:autoSpaceDE w:val="0"/>
        <w:autoSpaceDN w:val="0"/>
        <w:adjustRightInd w:val="0"/>
        <w:spacing w:line="520" w:lineRule="exact"/>
        <w:ind w:firstLine="640"/>
        <w:rPr>
          <w:rFonts w:eastAsia="楷体_GB2312"/>
          <w:b/>
          <w:sz w:val="32"/>
          <w:szCs w:val="32"/>
        </w:rPr>
      </w:pPr>
      <w:r>
        <w:rPr>
          <w:rFonts w:hint="eastAsia" w:ascii="黑体" w:hAnsi="黑体" w:eastAsia="黑体"/>
          <w:sz w:val="32"/>
          <w:szCs w:val="32"/>
        </w:rPr>
        <w:t>三、</w:t>
      </w:r>
      <w:r>
        <w:rPr>
          <w:rFonts w:ascii="楷体_GB2312" w:hAnsi="楷体_GB2312"/>
          <w:b/>
          <w:sz w:val="32"/>
          <w:szCs w:val="32"/>
        </w:rPr>
        <w:t>绩效目标完成情况。</w:t>
      </w:r>
    </w:p>
    <w:p>
      <w:pPr>
        <w:autoSpaceDE w:val="0"/>
        <w:autoSpaceDN w:val="0"/>
        <w:adjustRightInd w:val="0"/>
        <w:spacing w:line="520" w:lineRule="exact"/>
        <w:ind w:firstLine="640"/>
        <w:rPr>
          <w:rFonts w:ascii="仿宋_GB2312" w:eastAsia="仿宋_GB2312" w:cs="宋体"/>
          <w:sz w:val="32"/>
          <w:szCs w:val="32"/>
        </w:rPr>
      </w:pPr>
      <w:r>
        <w:rPr>
          <w:rFonts w:hint="eastAsia" w:ascii="仿宋_GB2312" w:eastAsia="仿宋_GB2312"/>
          <w:sz w:val="32"/>
          <w:szCs w:val="32"/>
        </w:rPr>
        <w:t>1.概述项目绩效目标完成情况。</w:t>
      </w:r>
      <w:r>
        <w:rPr>
          <w:rFonts w:hint="eastAsia" w:ascii="仿宋_GB2312" w:eastAsia="仿宋_GB2312"/>
          <w:kern w:val="0"/>
          <w:sz w:val="32"/>
          <w:szCs w:val="32"/>
        </w:rPr>
        <w:t>拟订了全市住房保障的配套政策措施;负责做好了组织编制全市住房保障和城市棚户区改造建设规划、年度计划;负责做好了全市住房保障和城市棚户区改造的立项争资工作; 负责指导好了全市住房保障的建设和管理并督查督办;负责指导好了棚户区改造工作；会同有关部门做好住房保障资金的安排和监管;参与查处了住房保障工作中的违规违纪问题；负责做好了廉租房、公租房租金收缴和国有土地上房屋征收与补偿工作。</w:t>
      </w:r>
    </w:p>
    <w:p>
      <w:pPr>
        <w:autoSpaceDE w:val="0"/>
        <w:autoSpaceDN w:val="0"/>
        <w:adjustRightInd w:val="0"/>
        <w:spacing w:line="520" w:lineRule="exact"/>
        <w:ind w:firstLine="640"/>
        <w:rPr>
          <w:rFonts w:hint="eastAsia" w:eastAsia="仿宋_GB2312"/>
          <w:sz w:val="32"/>
          <w:szCs w:val="32"/>
          <w:lang w:eastAsia="zh-CN"/>
        </w:rPr>
      </w:pPr>
      <w:r>
        <w:rPr>
          <w:rFonts w:hint="eastAsia" w:ascii="仿宋_GB2312" w:eastAsia="仿宋_GB2312"/>
          <w:sz w:val="32"/>
          <w:szCs w:val="32"/>
        </w:rPr>
        <w:t>2.概述本单位整体支出绩效目标实现情况（如有）。</w:t>
      </w:r>
      <w:r>
        <w:rPr>
          <w:rFonts w:hint="eastAsia" w:ascii="仿宋_GB2312" w:eastAsia="仿宋_GB2312"/>
          <w:sz w:val="32"/>
          <w:szCs w:val="32"/>
          <w:lang w:eastAsia="zh-CN"/>
        </w:rPr>
        <w:t>按要求完成了</w:t>
      </w:r>
      <w:r>
        <w:rPr>
          <w:rFonts w:hint="eastAsia" w:ascii="仿宋_GB2312" w:eastAsia="仿宋_GB2312"/>
          <w:sz w:val="32"/>
          <w:szCs w:val="32"/>
        </w:rPr>
        <w:t>本单位整体支出绩效目标</w:t>
      </w:r>
      <w:r>
        <w:rPr>
          <w:rFonts w:hint="eastAsia" w:ascii="仿宋_GB2312" w:eastAsia="仿宋_GB2312"/>
          <w:sz w:val="32"/>
          <w:szCs w:val="32"/>
          <w:lang w:eastAsia="zh-CN"/>
        </w:rPr>
        <w:t>。</w:t>
      </w:r>
    </w:p>
    <w:p>
      <w:pPr>
        <w:autoSpaceDE w:val="0"/>
        <w:autoSpaceDN w:val="0"/>
        <w:adjustRightInd w:val="0"/>
        <w:spacing w:line="520" w:lineRule="exact"/>
        <w:ind w:firstLine="640"/>
        <w:rPr>
          <w:rFonts w:eastAsia="黑体"/>
          <w:sz w:val="32"/>
          <w:szCs w:val="32"/>
        </w:rPr>
      </w:pPr>
      <w:r>
        <w:rPr>
          <w:rFonts w:eastAsia="仿宋_GB2312"/>
          <w:sz w:val="32"/>
          <w:szCs w:val="32"/>
        </w:rPr>
        <w:t xml:space="preserve"> </w:t>
      </w:r>
      <w:r>
        <w:rPr>
          <w:rFonts w:hint="eastAsia" w:ascii="黑体" w:hAnsi="黑体" w:eastAsia="黑体"/>
          <w:sz w:val="32"/>
          <w:szCs w:val="32"/>
        </w:rPr>
        <w:t>四、本年度部门决算等财务工作开展情况</w:t>
      </w:r>
    </w:p>
    <w:p>
      <w:pPr>
        <w:autoSpaceDE w:val="0"/>
        <w:autoSpaceDN w:val="0"/>
        <w:adjustRightInd w:val="0"/>
        <w:spacing w:line="520" w:lineRule="exact"/>
        <w:ind w:firstLine="640"/>
        <w:rPr>
          <w:rFonts w:eastAsia="仿宋"/>
          <w:sz w:val="32"/>
          <w:szCs w:val="32"/>
        </w:rPr>
      </w:pPr>
      <w:r>
        <w:rPr>
          <w:rFonts w:hint="eastAsia" w:ascii="仿宋" w:hAnsi="仿宋" w:eastAsia="仿宋"/>
          <w:sz w:val="32"/>
          <w:szCs w:val="32"/>
        </w:rPr>
        <w:t>（一）本部门（单位）财务管理、决算组织、编报、审核情况。本单位财务管理严格按制度办事、按时完成了预算、决算等报表的编报、审核等情况。</w:t>
      </w:r>
    </w:p>
    <w:p>
      <w:pPr>
        <w:autoSpaceDE w:val="0"/>
        <w:autoSpaceDN w:val="0"/>
        <w:adjustRightInd w:val="0"/>
        <w:spacing w:line="520" w:lineRule="exact"/>
        <w:ind w:firstLine="640"/>
        <w:rPr>
          <w:rFonts w:ascii="仿宋" w:eastAsia="仿宋" w:cs="宋体"/>
          <w:sz w:val="32"/>
          <w:szCs w:val="32"/>
        </w:rPr>
      </w:pPr>
      <w:r>
        <w:rPr>
          <w:rFonts w:hint="eastAsia" w:ascii="仿宋" w:hAnsi="仿宋" w:eastAsia="仿宋"/>
          <w:sz w:val="32"/>
          <w:szCs w:val="32"/>
        </w:rPr>
        <w:t>（二）本部门（单位）决算公开工作、主管部门对所属单位按规定批复决算工作开展情况。按要求进行决算公开，严格按批复决算情况开展工作。</w:t>
      </w:r>
    </w:p>
    <w:p>
      <w:pPr>
        <w:autoSpaceDE w:val="0"/>
        <w:autoSpaceDN w:val="0"/>
        <w:adjustRightInd w:val="0"/>
        <w:spacing w:line="520" w:lineRule="exact"/>
        <w:ind w:firstLine="640"/>
        <w:rPr>
          <w:rFonts w:hint="eastAsia" w:eastAsia="仿宋"/>
          <w:sz w:val="32"/>
          <w:szCs w:val="32"/>
          <w:lang w:eastAsia="zh-CN"/>
        </w:rPr>
      </w:pPr>
      <w:r>
        <w:rPr>
          <w:rFonts w:hint="eastAsia" w:ascii="仿宋" w:hAnsi="仿宋" w:eastAsia="仿宋"/>
          <w:sz w:val="32"/>
          <w:szCs w:val="32"/>
        </w:rPr>
        <w:t>（三）对部门（单位）决算管理及报表设计的意见建议。</w:t>
      </w:r>
      <w:r>
        <w:rPr>
          <w:rFonts w:hint="eastAsia" w:ascii="仿宋" w:hAnsi="仿宋" w:eastAsia="仿宋"/>
          <w:sz w:val="32"/>
          <w:szCs w:val="32"/>
          <w:lang w:eastAsia="zh-CN"/>
        </w:rPr>
        <w:t>无异议</w:t>
      </w:r>
    </w:p>
    <w:p>
      <w:pPr>
        <w:autoSpaceDE w:val="0"/>
        <w:autoSpaceDN w:val="0"/>
        <w:adjustRightInd w:val="0"/>
        <w:spacing w:line="520" w:lineRule="exact"/>
        <w:ind w:firstLine="640"/>
        <w:rPr>
          <w:rFonts w:hint="eastAsia" w:eastAsia="仿宋"/>
          <w:sz w:val="32"/>
          <w:szCs w:val="32"/>
          <w:lang w:eastAsia="zh-CN"/>
        </w:rPr>
      </w:pPr>
      <w:r>
        <w:rPr>
          <w:rFonts w:hint="eastAsia" w:ascii="仿宋" w:hAnsi="仿宋" w:eastAsia="仿宋"/>
          <w:sz w:val="32"/>
          <w:szCs w:val="32"/>
        </w:rPr>
        <w:t>（四）对加强部门决算数据分析利用工作的建议。</w:t>
      </w:r>
      <w:r>
        <w:rPr>
          <w:rFonts w:hint="eastAsia" w:ascii="仿宋" w:hAnsi="仿宋" w:eastAsia="仿宋"/>
          <w:sz w:val="32"/>
          <w:szCs w:val="32"/>
          <w:lang w:eastAsia="zh-CN"/>
        </w:rPr>
        <w:t>进一步简化分析流程。</w:t>
      </w:r>
    </w:p>
    <w:p>
      <w:pPr>
        <w:autoSpaceDE w:val="0"/>
        <w:autoSpaceDN w:val="0"/>
        <w:adjustRightInd w:val="0"/>
        <w:jc w:val="left"/>
        <w:rPr>
          <w:rFonts w:eastAsia="黑体"/>
          <w:sz w:val="32"/>
          <w:szCs w:val="32"/>
        </w:rPr>
      </w:pPr>
      <w:r>
        <w:rPr>
          <w:rFonts w:hint="eastAsia" w:ascii="黑体" w:eastAsia="黑体"/>
          <w:sz w:val="32"/>
          <w:szCs w:val="32"/>
        </w:rPr>
        <w:t xml:space="preserve">    </w:t>
      </w:r>
      <w:r>
        <w:rPr>
          <w:rFonts w:hint="eastAsia" w:ascii="黑体" w:hAnsi="黑体" w:eastAsia="黑体"/>
          <w:sz w:val="32"/>
          <w:szCs w:val="32"/>
        </w:rPr>
        <w:t>注：收入支出预算执行情况分析可参考部门决算分析评价表（见软件查询模板）及行政事业单位财务分析指标（附后）。</w:t>
      </w:r>
    </w:p>
    <w:p>
      <w:pPr>
        <w:rPr>
          <w:rFonts w:hint="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7B7A79"/>
    <w:multiLevelType w:val="multilevel"/>
    <w:tmpl w:val="137B7A79"/>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DAC0B3D"/>
    <w:multiLevelType w:val="multilevel"/>
    <w:tmpl w:val="7DAC0B3D"/>
    <w:lvl w:ilvl="0" w:tentative="0">
      <w:start w:val="2"/>
      <w:numFmt w:val="japaneseCounting"/>
      <w:lvlText w:val="（%1）"/>
      <w:lvlJc w:val="left"/>
      <w:pPr>
        <w:ind w:left="1639" w:hanging="996"/>
      </w:pPr>
      <w:rPr>
        <w:rFonts w:hint="default" w:hAnsi="楷体_GB2312"/>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D33AE"/>
    <w:rsid w:val="001B05CF"/>
    <w:rsid w:val="002B43A7"/>
    <w:rsid w:val="002C1491"/>
    <w:rsid w:val="003B43BC"/>
    <w:rsid w:val="004812DB"/>
    <w:rsid w:val="004D0BB8"/>
    <w:rsid w:val="005A2187"/>
    <w:rsid w:val="00663BA5"/>
    <w:rsid w:val="006F354B"/>
    <w:rsid w:val="007D33AE"/>
    <w:rsid w:val="008B4D1F"/>
    <w:rsid w:val="00E136F6"/>
    <w:rsid w:val="00E54240"/>
    <w:rsid w:val="0A0A648A"/>
    <w:rsid w:val="218E70E0"/>
    <w:rsid w:val="34506783"/>
    <w:rsid w:val="3912660A"/>
    <w:rsid w:val="466405D5"/>
    <w:rsid w:val="5F7D3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763</Words>
  <Characters>4352</Characters>
  <Lines>36</Lines>
  <Paragraphs>10</Paragraphs>
  <TotalTime>9</TotalTime>
  <ScaleCrop>false</ScaleCrop>
  <LinksUpToDate>false</LinksUpToDate>
  <CharactersWithSpaces>5105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2022-02-18T02:09:00Z</dcterms:created>
  <dc:creator>微软用户</dc:creator>
  <cp:lastModifiedBy>WPS_1559610793</cp:lastModifiedBy>
  <dcterms:modified xsi:type="dcterms:W3CDTF">2022-02-21T01:05:18Z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743386ACEE37484AAA70B57698F0FB27</vt:lpwstr>
  </property>
</Properties>
</file>