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54" w:rsidRPr="003435A1" w:rsidRDefault="00325354" w:rsidP="003435A1">
      <w:pPr>
        <w:widowControl/>
        <w:spacing w:line="520" w:lineRule="exact"/>
        <w:ind w:firstLine="480"/>
        <w:jc w:val="center"/>
        <w:rPr>
          <w:rFonts w:asciiTheme="majorEastAsia" w:eastAsiaTheme="majorEastAsia" w:hAnsiTheme="majorEastAsia" w:cs="宋体"/>
          <w:b/>
          <w:color w:val="000000" w:themeColor="text1"/>
          <w:kern w:val="0"/>
          <w:sz w:val="44"/>
          <w:szCs w:val="44"/>
        </w:rPr>
      </w:pPr>
      <w:r w:rsidRPr="003435A1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沅江市路灯灯饰服务中心</w:t>
      </w:r>
    </w:p>
    <w:p w:rsidR="00325354" w:rsidRPr="003435A1" w:rsidRDefault="0021712B" w:rsidP="003435A1">
      <w:pPr>
        <w:widowControl/>
        <w:spacing w:line="520" w:lineRule="exact"/>
        <w:ind w:firstLine="480"/>
        <w:jc w:val="center"/>
        <w:rPr>
          <w:rFonts w:asciiTheme="majorEastAsia" w:eastAsiaTheme="majorEastAsia" w:hAnsiTheme="majorEastAsia" w:cs="宋体"/>
          <w:b/>
          <w:color w:val="000000" w:themeColor="text1"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2021</w:t>
      </w:r>
      <w:r w:rsidR="00325354" w:rsidRPr="003435A1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44"/>
          <w:szCs w:val="44"/>
        </w:rPr>
        <w:t>年度部门整体支出绩效自评报告</w:t>
      </w:r>
    </w:p>
    <w:p w:rsidR="00325354" w:rsidRPr="003435A1" w:rsidRDefault="00325354" w:rsidP="003435A1">
      <w:pPr>
        <w:widowControl/>
        <w:spacing w:line="520" w:lineRule="exact"/>
        <w:ind w:firstLine="48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3435A1">
        <w:rPr>
          <w:rFonts w:ascii="宋体" w:eastAsia="仿宋" w:hAnsi="宋体" w:cs="宋体" w:hint="eastAsia"/>
          <w:color w:val="000000" w:themeColor="text1"/>
          <w:kern w:val="0"/>
          <w:sz w:val="32"/>
          <w:szCs w:val="32"/>
        </w:rPr>
        <w:t> </w:t>
      </w:r>
    </w:p>
    <w:p w:rsidR="00325354" w:rsidRPr="003435A1" w:rsidRDefault="00325354" w:rsidP="003435A1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为进一步规范财政资金管理，牢固树立预算绩效理念，强化部门支出责任，提高财政资金使用效益，根据《湖南省预算绩效管理工作规范的通知》，结合上级工作安排等文件精神，现将绩效自评情况报告如下：</w:t>
      </w:r>
    </w:p>
    <w:p w:rsidR="00325354" w:rsidRPr="003435A1" w:rsidRDefault="00325354" w:rsidP="003435A1">
      <w:pPr>
        <w:widowControl/>
        <w:spacing w:line="520" w:lineRule="exact"/>
        <w:ind w:firstLine="709"/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一、部门基本情况</w:t>
      </w:r>
    </w:p>
    <w:p w:rsidR="00325354" w:rsidRPr="003435A1" w:rsidRDefault="00325354" w:rsidP="003435A1">
      <w:pPr>
        <w:widowControl/>
        <w:spacing w:line="520" w:lineRule="exact"/>
        <w:ind w:firstLine="709"/>
        <w:rPr>
          <w:rFonts w:ascii="仿宋" w:eastAsia="仿宋" w:hAnsi="仿宋" w:cs="宋体"/>
          <w:b/>
          <w:bCs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（一）职能、机构设置及人员情况</w:t>
      </w:r>
    </w:p>
    <w:p w:rsidR="00325354" w:rsidRPr="003435A1" w:rsidRDefault="00325354" w:rsidP="003435A1">
      <w:pPr>
        <w:widowControl/>
        <w:spacing w:line="520" w:lineRule="exact"/>
        <w:ind w:firstLine="709"/>
        <w:rPr>
          <w:rFonts w:ascii="仿宋" w:eastAsia="仿宋" w:hAnsi="仿宋"/>
          <w:color w:val="000000" w:themeColor="text1"/>
          <w:sz w:val="32"/>
          <w:szCs w:val="32"/>
        </w:rPr>
      </w:pPr>
      <w:r w:rsidRPr="003435A1">
        <w:rPr>
          <w:rFonts w:ascii="仿宋" w:eastAsia="仿宋" w:hAnsi="仿宋" w:hint="eastAsia"/>
          <w:color w:val="000000" w:themeColor="text1"/>
          <w:sz w:val="32"/>
          <w:szCs w:val="32"/>
        </w:rPr>
        <w:t>沅江市路灯灯饰</w:t>
      </w:r>
      <w:r w:rsidR="00CE7AE0">
        <w:rPr>
          <w:rFonts w:ascii="仿宋" w:eastAsia="仿宋" w:hAnsi="仿宋" w:hint="eastAsia"/>
          <w:color w:val="000000" w:themeColor="text1"/>
          <w:sz w:val="32"/>
          <w:szCs w:val="32"/>
        </w:rPr>
        <w:t>服务中心</w:t>
      </w:r>
      <w:r w:rsidRPr="003435A1">
        <w:rPr>
          <w:rFonts w:ascii="仿宋" w:eastAsia="仿宋" w:hAnsi="仿宋" w:hint="eastAsia"/>
          <w:color w:val="000000" w:themeColor="text1"/>
          <w:sz w:val="32"/>
          <w:szCs w:val="32"/>
        </w:rPr>
        <w:t>系城市管理行政执法局下属全额拨款性质的二级机构事业单位。现有干职工</w:t>
      </w:r>
      <w:r w:rsidR="00F27DE3" w:rsidRPr="003435A1"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r w:rsidRPr="003435A1">
        <w:rPr>
          <w:rFonts w:ascii="仿宋" w:eastAsia="仿宋" w:hAnsi="仿宋" w:hint="eastAsia"/>
          <w:color w:val="000000" w:themeColor="text1"/>
          <w:sz w:val="32"/>
          <w:szCs w:val="32"/>
        </w:rPr>
        <w:t>人（其中，退休3人，在职18人），内设办公室、业务股、巡查室、三个股室。</w:t>
      </w:r>
    </w:p>
    <w:p w:rsidR="00325354" w:rsidRPr="003435A1" w:rsidRDefault="00325354" w:rsidP="003435A1">
      <w:pPr>
        <w:widowControl/>
        <w:spacing w:line="520" w:lineRule="exact"/>
        <w:ind w:firstLine="709"/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（二）工作职责</w:t>
      </w:r>
    </w:p>
    <w:p w:rsidR="00325354" w:rsidRPr="003435A1" w:rsidRDefault="0062150A" w:rsidP="003435A1">
      <w:pPr>
        <w:widowControl/>
        <w:spacing w:line="520" w:lineRule="exact"/>
        <w:ind w:firstLine="709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我中心</w:t>
      </w:r>
      <w:r w:rsidR="00325354"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为公益性全额拨款事业单位，主要负责城区路灯灯饰的维修、维护与管理。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Calibri"/>
          <w:b/>
          <w:color w:val="000000" w:themeColor="text1"/>
          <w:kern w:val="0"/>
          <w:szCs w:val="21"/>
        </w:rPr>
      </w:pP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二、部门整体支出管理及使用情况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Calibri"/>
          <w:b/>
          <w:color w:val="000000" w:themeColor="text1"/>
          <w:kern w:val="0"/>
          <w:szCs w:val="21"/>
        </w:rPr>
      </w:pP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（一）基本支出的管理和使用情况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="640"/>
        <w:rPr>
          <w:rFonts w:ascii="Calibri" w:eastAsia="宋体" w:hAnsi="Calibri" w:cs="Calibri"/>
          <w:b/>
          <w:color w:val="000000" w:themeColor="text1"/>
          <w:kern w:val="0"/>
          <w:szCs w:val="21"/>
        </w:rPr>
      </w:pP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1</w:t>
      </w:r>
      <w:r w:rsid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、</w:t>
      </w: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基本支出的主要用途范围及资金的管理情况</w:t>
      </w:r>
    </w:p>
    <w:p w:rsidR="007E619F" w:rsidRDefault="0021712B" w:rsidP="003435A1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2021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年度基本支出</w:t>
      </w:r>
      <w:r w:rsidR="007E619F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161.094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万元。其中:</w:t>
      </w:r>
      <w:r w:rsidR="00E70555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工资福利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 xml:space="preserve">支出 </w:t>
      </w:r>
      <w:r w:rsidR="007E619F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143.094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万元，主要用于基本工资、津贴补贴、奖金、</w:t>
      </w:r>
      <w:r w:rsidR="00E70555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伙食补助、绩效工资、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社会保障缴费、离休费、退休费、抚恤金、住房公积金等支出；</w:t>
      </w:r>
      <w:r w:rsidR="00E70555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商品和服务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支出</w:t>
      </w:r>
      <w:r w:rsidR="007E619F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18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万元，主要用于办公费、印刷费、水电费、差旅费、会议费、培训费、公务接待费、工会经费等支出。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="640"/>
        <w:rPr>
          <w:rFonts w:ascii="Calibri" w:eastAsia="宋体" w:hAnsi="Calibri" w:cs="Calibri"/>
          <w:b/>
          <w:color w:val="000000" w:themeColor="text1"/>
          <w:kern w:val="0"/>
          <w:szCs w:val="21"/>
        </w:rPr>
      </w:pP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2</w:t>
      </w:r>
      <w:r w:rsid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、</w:t>
      </w: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年初总预算收支情况</w:t>
      </w:r>
    </w:p>
    <w:p w:rsidR="00325354" w:rsidRPr="003435A1" w:rsidRDefault="0021712B" w:rsidP="003435A1">
      <w:pPr>
        <w:widowControl/>
        <w:shd w:val="clear" w:color="auto" w:fill="FFFFFF"/>
        <w:spacing w:line="520" w:lineRule="exact"/>
        <w:ind w:firstLine="640"/>
        <w:rPr>
          <w:rFonts w:ascii="Calibri" w:eastAsia="宋体" w:hAnsi="Calibri" w:cs="Calibri"/>
          <w:color w:val="000000" w:themeColor="text1"/>
          <w:kern w:val="0"/>
          <w:szCs w:val="21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lastRenderedPageBreak/>
        <w:t>2021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年度部门预算数为</w:t>
      </w:r>
      <w:r w:rsidR="007E619F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709.094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万元，其中:基本支出</w:t>
      </w:r>
      <w:r w:rsidR="007E619F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161.094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万元，项目支出</w:t>
      </w:r>
      <w:r w:rsidR="00703435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546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万元（</w:t>
      </w:r>
      <w:r w:rsidR="00703435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路灯电费287万，工程车运行维护费16万，电子卡口电费50万，红绿灯电费30万，路灯维修维护73万，文化旅游节景观维护费90万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）。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="640"/>
        <w:rPr>
          <w:rFonts w:ascii="Calibri" w:eastAsia="宋体" w:hAnsi="Calibri" w:cs="Calibri"/>
          <w:b/>
          <w:color w:val="000000" w:themeColor="text1"/>
          <w:kern w:val="0"/>
          <w:szCs w:val="21"/>
        </w:rPr>
      </w:pP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3</w:t>
      </w:r>
      <w:r w:rsid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、</w:t>
      </w: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本年财政拨款预算追加及年度可用财政拨款预算指标情况</w:t>
      </w:r>
    </w:p>
    <w:p w:rsidR="00701954" w:rsidRPr="003435A1" w:rsidRDefault="0021712B" w:rsidP="003435A1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2021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年度实际收到的一般预算财政拨款收入为</w:t>
      </w:r>
      <w:r w:rsidR="007019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475.</w:t>
      </w:r>
      <w:r w:rsidR="007E619F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094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</w:t>
      </w:r>
      <w:r w:rsidR="007019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政府性基金收入为234万元；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与年初预算安排</w:t>
      </w:r>
      <w:r w:rsidR="007019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数相符。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="640"/>
        <w:rPr>
          <w:rFonts w:ascii="Calibri" w:eastAsia="宋体" w:hAnsi="Calibri" w:cs="Calibri"/>
          <w:b/>
          <w:color w:val="000000" w:themeColor="text1"/>
          <w:kern w:val="0"/>
          <w:szCs w:val="21"/>
        </w:rPr>
      </w:pP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4</w:t>
      </w:r>
      <w:r w:rsid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、</w:t>
      </w: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年度预算收入决算情况</w:t>
      </w:r>
    </w:p>
    <w:p w:rsidR="00325354" w:rsidRPr="003435A1" w:rsidRDefault="0021712B" w:rsidP="003435A1">
      <w:pPr>
        <w:widowControl/>
        <w:shd w:val="clear" w:color="auto" w:fill="FFFFFF"/>
        <w:spacing w:line="520" w:lineRule="exact"/>
        <w:ind w:firstLine="640"/>
        <w:rPr>
          <w:rFonts w:ascii="Calibri" w:eastAsia="宋体" w:hAnsi="Calibri" w:cs="Calibri"/>
          <w:color w:val="000000" w:themeColor="text1"/>
          <w:kern w:val="0"/>
          <w:szCs w:val="21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2021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年度收入合计</w:t>
      </w:r>
      <w:r w:rsidR="007E619F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840.1089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万元，其中：财政拨款收入</w:t>
      </w:r>
      <w:r w:rsidR="007E619F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482.0897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</w:t>
      </w:r>
      <w:r w:rsidR="007019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政府性基金收入</w:t>
      </w:r>
      <w:r w:rsidR="007E619F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265.9192</w:t>
      </w:r>
      <w:r w:rsidR="007019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万元，事业收入</w:t>
      </w:r>
      <w:r w:rsidR="007E619F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92</w:t>
      </w:r>
      <w:r w:rsidR="007019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</w:t>
      </w:r>
      <w:r w:rsidR="007E619F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,上级补助收入0.1万元。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 xml:space="preserve"> 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="640"/>
        <w:rPr>
          <w:rFonts w:ascii="Calibri" w:eastAsia="宋体" w:hAnsi="Calibri" w:cs="Calibri"/>
          <w:b/>
          <w:color w:val="000000" w:themeColor="text1"/>
          <w:kern w:val="0"/>
          <w:szCs w:val="21"/>
        </w:rPr>
      </w:pP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5</w:t>
      </w:r>
      <w:r w:rsid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、</w:t>
      </w: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年度预算支出决算及结余情况</w:t>
      </w:r>
    </w:p>
    <w:p w:rsidR="00325354" w:rsidRPr="003435A1" w:rsidRDefault="0021712B" w:rsidP="003435A1">
      <w:pPr>
        <w:widowControl/>
        <w:shd w:val="clear" w:color="auto" w:fill="FFFFFF"/>
        <w:spacing w:line="520" w:lineRule="exact"/>
        <w:ind w:firstLine="640"/>
        <w:rPr>
          <w:rFonts w:ascii="Calibri" w:eastAsia="宋体" w:hAnsi="Calibri" w:cs="Calibri"/>
          <w:color w:val="000000" w:themeColor="text1"/>
          <w:kern w:val="0"/>
          <w:szCs w:val="21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2021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年度一般预算财政拨款收入</w:t>
      </w:r>
      <w:r w:rsidR="007E619F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482.0897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</w:t>
      </w:r>
      <w:r w:rsidR="007019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政府性基金收入</w:t>
      </w:r>
      <w:r w:rsidR="007E619F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265.9192</w:t>
      </w:r>
      <w:r w:rsidR="007019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万元，上级补助收入</w:t>
      </w:r>
      <w:r w:rsidR="007E619F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0.1</w:t>
      </w:r>
      <w:r w:rsidR="007019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万元。</w:t>
      </w:r>
      <w:r w:rsidR="007E619F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事业收入92万元。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支出</w:t>
      </w:r>
      <w:r w:rsidR="007E619F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840.4484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</w:t>
      </w:r>
      <w:r w:rsidR="001B6BB9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上年结余</w:t>
      </w:r>
      <w:r w:rsidR="007E619F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0</w:t>
      </w:r>
      <w:r w:rsidR="001B6BB9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万元，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本年结余</w:t>
      </w:r>
      <w:r w:rsidR="007E619F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69.875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</w:t>
      </w:r>
      <w:r w:rsidR="001B6BB9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。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="640"/>
        <w:rPr>
          <w:rFonts w:ascii="Calibri" w:eastAsia="宋体" w:hAnsi="Calibri" w:cs="Calibri"/>
          <w:b/>
          <w:color w:val="000000" w:themeColor="text1"/>
          <w:kern w:val="0"/>
          <w:szCs w:val="21"/>
        </w:rPr>
      </w:pP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6</w:t>
      </w:r>
      <w:r w:rsid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、</w:t>
      </w: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“三公经费”情况</w:t>
      </w:r>
    </w:p>
    <w:p w:rsidR="00325354" w:rsidRPr="003435A1" w:rsidRDefault="0021712B" w:rsidP="003435A1">
      <w:pPr>
        <w:widowControl/>
        <w:shd w:val="clear" w:color="auto" w:fill="FFFFFF"/>
        <w:spacing w:line="520" w:lineRule="exact"/>
        <w:ind w:firstLine="640"/>
        <w:rPr>
          <w:rFonts w:ascii="Calibri" w:eastAsia="宋体" w:hAnsi="Calibri" w:cs="Calibri"/>
          <w:color w:val="000000" w:themeColor="text1"/>
          <w:kern w:val="0"/>
          <w:szCs w:val="21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2021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年度三公经费预算支出</w:t>
      </w:r>
      <w:r w:rsidR="007E619F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16.1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万元。其中，公务接待预算支出</w:t>
      </w:r>
      <w:r w:rsidR="001B6BB9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0.</w:t>
      </w:r>
      <w:r w:rsidR="007E619F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1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万元。</w:t>
      </w:r>
      <w:r w:rsidR="001B6BB9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公务用车购置及运行维护费16万元。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决算支出</w:t>
      </w:r>
      <w:r w:rsidR="007E619F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0.1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万元（公务接待费</w:t>
      </w:r>
      <w:r w:rsidR="001B6BB9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0</w:t>
      </w:r>
      <w:r w:rsidR="007E619F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.1</w:t>
      </w:r>
      <w:r w:rsidR="00325354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万元），</w:t>
      </w:r>
      <w:r w:rsidR="001B6BB9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公务用车运行维护费</w:t>
      </w:r>
      <w:r w:rsidR="007E619F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12.5214</w:t>
      </w:r>
      <w:r w:rsidR="001B6BB9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万元。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Calibri"/>
          <w:b/>
          <w:color w:val="000000" w:themeColor="text1"/>
          <w:kern w:val="0"/>
          <w:szCs w:val="21"/>
        </w:rPr>
      </w:pPr>
      <w:r w:rsidRPr="003435A1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（二）专项支出的管理和使用情况</w:t>
      </w:r>
    </w:p>
    <w:p w:rsidR="00325354" w:rsidRPr="003435A1" w:rsidRDefault="003435A1" w:rsidP="003435A1">
      <w:pPr>
        <w:shd w:val="clear" w:color="auto" w:fill="FFFFFF"/>
        <w:spacing w:line="520" w:lineRule="exact"/>
        <w:ind w:firstLine="643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1、</w:t>
      </w:r>
      <w:r w:rsidR="00325354" w:rsidRPr="003435A1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专项资金安排落实、总投入等情况分析</w:t>
      </w:r>
    </w:p>
    <w:p w:rsidR="00637CFE" w:rsidRPr="003435A1" w:rsidRDefault="0062150A" w:rsidP="0062150A">
      <w:pPr>
        <w:spacing w:line="52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我中心</w:t>
      </w:r>
      <w:r w:rsidR="0021712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2021</w:t>
      </w:r>
      <w:r w:rsidR="00325354"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年初预算专项资金</w:t>
      </w:r>
      <w:r w:rsidR="00637CFE"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546</w:t>
      </w:r>
      <w:r w:rsidR="00325354"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元，其中</w:t>
      </w:r>
      <w:r w:rsidR="00637CFE"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：</w:t>
      </w:r>
    </w:p>
    <w:p w:rsidR="00637CFE" w:rsidRPr="003435A1" w:rsidRDefault="00637CFE" w:rsidP="003435A1">
      <w:pPr>
        <w:pStyle w:val="a3"/>
        <w:numPr>
          <w:ilvl w:val="0"/>
          <w:numId w:val="1"/>
        </w:numPr>
        <w:spacing w:line="520" w:lineRule="exact"/>
        <w:ind w:firstLineChars="0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路灯电费287万（一般公共预算拨款170万元、政府</w:t>
      </w:r>
      <w:r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lastRenderedPageBreak/>
        <w:t>性基金拨款117万元）</w:t>
      </w:r>
    </w:p>
    <w:p w:rsidR="00637CFE" w:rsidRPr="003435A1" w:rsidRDefault="003435A1" w:rsidP="003435A1">
      <w:pPr>
        <w:spacing w:line="520" w:lineRule="exact"/>
        <w:ind w:firstLineChars="200" w:firstLine="640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/>
          <w:color w:val="000000" w:themeColor="text1"/>
          <w:kern w:val="0"/>
          <w:sz w:val="32"/>
          <w:szCs w:val="32"/>
        </w:rPr>
        <w:t>b)</w:t>
      </w:r>
      <w:r w:rsidR="00637CFE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、工程车运行维护费一般公共预算拨款16万</w:t>
      </w:r>
      <w:r w:rsidR="00436B23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。</w:t>
      </w:r>
    </w:p>
    <w:p w:rsidR="00436B23" w:rsidRPr="003435A1" w:rsidRDefault="003435A1" w:rsidP="003435A1">
      <w:pPr>
        <w:spacing w:line="520" w:lineRule="exact"/>
        <w:ind w:firstLineChars="200" w:firstLine="640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c)</w:t>
      </w:r>
      <w:r w:rsidR="00637CFE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、电子卡口电费政府性基金拨款50万</w:t>
      </w:r>
      <w:r w:rsidR="00436B23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元。</w:t>
      </w:r>
    </w:p>
    <w:p w:rsidR="00436B23" w:rsidRPr="003435A1" w:rsidRDefault="003435A1" w:rsidP="003435A1">
      <w:pPr>
        <w:spacing w:line="520" w:lineRule="exact"/>
        <w:ind w:firstLineChars="200" w:firstLine="640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d)</w:t>
      </w:r>
      <w:r w:rsidR="00637CFE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、红绿灯电费一般公共预算拨款30</w:t>
      </w:r>
      <w:r w:rsidR="00436B23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万元。</w:t>
      </w:r>
    </w:p>
    <w:p w:rsidR="00436B23" w:rsidRPr="003435A1" w:rsidRDefault="003435A1" w:rsidP="003435A1">
      <w:pPr>
        <w:spacing w:line="520" w:lineRule="exact"/>
        <w:ind w:firstLineChars="200" w:firstLine="640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e)</w:t>
      </w:r>
      <w:r w:rsidR="00637CFE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、路灯维修维护73万</w:t>
      </w:r>
      <w:r w:rsidR="00436B23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（</w:t>
      </w:r>
      <w:r w:rsidR="00637CFE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一般公共预算拨款6万元、政府性基金拨款67万元</w:t>
      </w:r>
      <w:r w:rsidR="00436B23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）。</w:t>
      </w:r>
    </w:p>
    <w:p w:rsidR="00436B23" w:rsidRPr="003435A1" w:rsidRDefault="003435A1" w:rsidP="003435A1">
      <w:pPr>
        <w:spacing w:line="520" w:lineRule="exact"/>
        <w:ind w:firstLineChars="200" w:firstLine="640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f)</w:t>
      </w:r>
      <w:r w:rsidR="00637CFE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、文化旅游节景观维护费</w:t>
      </w:r>
      <w:r w:rsidR="00436B23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一般公共预算拨款</w:t>
      </w:r>
      <w:r w:rsidR="00637CFE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90</w:t>
      </w:r>
      <w:r w:rsidR="00436B23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万元</w:t>
      </w:r>
      <w:r w:rsidR="00637CFE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。</w:t>
      </w:r>
    </w:p>
    <w:p w:rsidR="00325354" w:rsidRPr="003435A1" w:rsidRDefault="007E619F" w:rsidP="003435A1">
      <w:pPr>
        <w:shd w:val="clear" w:color="auto" w:fill="FFFFFF"/>
        <w:spacing w:line="520" w:lineRule="exact"/>
        <w:ind w:firstLine="643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2</w:t>
      </w:r>
      <w:r w:rsidR="003435A1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、</w:t>
      </w:r>
      <w:r w:rsidR="00325354" w:rsidRPr="003435A1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专项资金管理情况分析</w:t>
      </w:r>
    </w:p>
    <w:p w:rsidR="00325354" w:rsidRPr="003435A1" w:rsidRDefault="00325354" w:rsidP="003435A1">
      <w:pPr>
        <w:shd w:val="clear" w:color="auto" w:fill="FFFFFF"/>
        <w:spacing w:line="520" w:lineRule="exact"/>
        <w:ind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各项资金本着专款专用的原则，严格执行项目资金批准的使用计划和项目批复内容，不擅自调项、扩项、缩项，不拆借、挪用、挤占。资金拨付动向按不同专项资金的要求执行。同时对每笔专项资金的支付，严格执行财务制度，落实专项资金审核程序。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Chars="200" w:firstLine="643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Arial" w:hint="eastAsia"/>
          <w:b/>
          <w:bCs/>
          <w:color w:val="000000" w:themeColor="text1"/>
          <w:kern w:val="0"/>
          <w:sz w:val="32"/>
          <w:szCs w:val="32"/>
        </w:rPr>
        <w:t>三、部门（单位）专项组织实施情况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Chars="200" w:firstLine="643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Arial" w:hint="eastAsia"/>
          <w:b/>
          <w:bCs/>
          <w:color w:val="000000" w:themeColor="text1"/>
          <w:kern w:val="0"/>
          <w:sz w:val="32"/>
          <w:szCs w:val="32"/>
        </w:rPr>
        <w:t>（一）专项组织情况分析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各项专项资金都安排责任人，按专项资金的用途专款专用。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Chars="200" w:firstLine="643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Arial" w:hint="eastAsia"/>
          <w:b/>
          <w:bCs/>
          <w:color w:val="000000" w:themeColor="text1"/>
          <w:kern w:val="0"/>
          <w:sz w:val="32"/>
          <w:szCs w:val="32"/>
        </w:rPr>
        <w:t>（二）专项管理情况分析</w:t>
      </w:r>
    </w:p>
    <w:p w:rsidR="00325354" w:rsidRPr="003435A1" w:rsidRDefault="00325354" w:rsidP="003435A1">
      <w:pPr>
        <w:widowControl/>
        <w:shd w:val="clear" w:color="auto" w:fill="FFFFFF"/>
        <w:spacing w:line="520" w:lineRule="exact"/>
        <w:ind w:firstLineChars="200" w:firstLine="640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3435A1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在使用专项资金时，严格执行专项资使用制度和财务制度，同时对各项专项资金的使用流程进行监督，定时查看财务表报检查专项资金使用情况。</w:t>
      </w:r>
    </w:p>
    <w:p w:rsidR="00AA6677" w:rsidRPr="00AA6677" w:rsidRDefault="00AA6677" w:rsidP="003435A1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Calibri"/>
          <w:b/>
          <w:color w:val="000000" w:themeColor="text1"/>
          <w:kern w:val="0"/>
          <w:szCs w:val="21"/>
        </w:rPr>
      </w:pPr>
      <w:r w:rsidRPr="00AA6677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四、存在的主要问题及有关建议</w:t>
      </w:r>
    </w:p>
    <w:p w:rsidR="00AA6677" w:rsidRPr="00AA6677" w:rsidRDefault="00AA6677" w:rsidP="003435A1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Calibri"/>
          <w:b/>
          <w:color w:val="000000" w:themeColor="text1"/>
          <w:kern w:val="0"/>
          <w:szCs w:val="21"/>
        </w:rPr>
      </w:pPr>
      <w:r w:rsidRPr="00AA6677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（一）存在的问题</w:t>
      </w:r>
    </w:p>
    <w:p w:rsidR="00AA6677" w:rsidRPr="00AA6677" w:rsidRDefault="00AA6677" w:rsidP="003435A1">
      <w:pPr>
        <w:widowControl/>
        <w:shd w:val="clear" w:color="auto" w:fill="FFFFFF"/>
        <w:spacing w:line="520" w:lineRule="exact"/>
        <w:ind w:firstLineChars="250" w:firstLine="800"/>
        <w:rPr>
          <w:rFonts w:ascii="仿宋" w:eastAsia="仿宋" w:hAnsi="仿宋" w:cs="Calibri"/>
          <w:color w:val="000000" w:themeColor="text1"/>
          <w:kern w:val="0"/>
          <w:szCs w:val="21"/>
        </w:rPr>
      </w:pPr>
      <w:r w:rsidRPr="00AA6677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1</w:t>
      </w:r>
      <w:r w:rsidR="003435A1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、</w:t>
      </w:r>
      <w:r w:rsidRPr="00AA6677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编制有待更严格执行。预算编制与实际支出项目有的仍存在细微差异。</w:t>
      </w:r>
    </w:p>
    <w:p w:rsidR="003435A1" w:rsidRPr="003435A1" w:rsidRDefault="00AA6677" w:rsidP="003435A1">
      <w:pPr>
        <w:widowControl/>
        <w:shd w:val="clear" w:color="auto" w:fill="FFFFFF"/>
        <w:spacing w:line="520" w:lineRule="exact"/>
        <w:ind w:firstLineChars="235" w:firstLine="752"/>
        <w:jc w:val="left"/>
        <w:rPr>
          <w:rFonts w:ascii="仿宋" w:eastAsia="仿宋" w:hAnsi="仿宋" w:cs="Calibri"/>
          <w:color w:val="000000" w:themeColor="text1"/>
          <w:kern w:val="0"/>
          <w:sz w:val="32"/>
          <w:szCs w:val="32"/>
        </w:rPr>
      </w:pPr>
      <w:r w:rsidRPr="00AA6677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lastRenderedPageBreak/>
        <w:t>2</w:t>
      </w:r>
      <w:r w:rsidR="003435A1" w:rsidRPr="003435A1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、</w:t>
      </w:r>
      <w:r w:rsidRPr="00AA6677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固定资产管理有待加强。部分固定资产折损，未及时进行清理。</w:t>
      </w:r>
    </w:p>
    <w:p w:rsidR="003435A1" w:rsidRPr="00AA6677" w:rsidRDefault="003435A1" w:rsidP="003435A1">
      <w:pPr>
        <w:widowControl/>
        <w:shd w:val="clear" w:color="auto" w:fill="FFFFFF"/>
        <w:spacing w:line="520" w:lineRule="exact"/>
        <w:ind w:firstLineChars="235" w:firstLine="752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3435A1">
        <w:rPr>
          <w:rFonts w:ascii="仿宋" w:eastAsia="仿宋" w:hAnsi="仿宋" w:cs="宋体" w:hint="eastAsia"/>
          <w:color w:val="000000" w:themeColor="text1"/>
          <w:sz w:val="32"/>
          <w:szCs w:val="32"/>
        </w:rPr>
        <w:t>3、</w:t>
      </w:r>
      <w:r w:rsidRPr="00AA6677">
        <w:rPr>
          <w:rFonts w:ascii="仿宋" w:eastAsia="仿宋" w:hAnsi="仿宋" w:cs="宋体" w:hint="eastAsia"/>
          <w:color w:val="000000" w:themeColor="text1"/>
          <w:sz w:val="32"/>
          <w:szCs w:val="32"/>
        </w:rPr>
        <w:t>绩效目标设立不够明确、细化和量化。</w:t>
      </w:r>
    </w:p>
    <w:p w:rsidR="00AA6677" w:rsidRPr="00AA6677" w:rsidRDefault="00AA6677" w:rsidP="003435A1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Calibri"/>
          <w:b/>
          <w:color w:val="000000" w:themeColor="text1"/>
          <w:kern w:val="0"/>
          <w:szCs w:val="21"/>
        </w:rPr>
      </w:pPr>
      <w:r w:rsidRPr="00AA6677">
        <w:rPr>
          <w:rFonts w:ascii="仿宋" w:eastAsia="仿宋" w:hAnsi="仿宋" w:cs="Calibri" w:hint="eastAsia"/>
          <w:b/>
          <w:color w:val="000000" w:themeColor="text1"/>
          <w:kern w:val="0"/>
          <w:sz w:val="32"/>
          <w:szCs w:val="32"/>
        </w:rPr>
        <w:t>（二）有关建议</w:t>
      </w:r>
    </w:p>
    <w:p w:rsidR="00AA6677" w:rsidRPr="00AA6677" w:rsidRDefault="00AA6677" w:rsidP="003435A1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Calibri"/>
          <w:color w:val="000000" w:themeColor="text1"/>
          <w:kern w:val="0"/>
          <w:szCs w:val="21"/>
        </w:rPr>
      </w:pPr>
      <w:r w:rsidRPr="00AA6677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1.按照预算规定的项目和用途严格财务审核，经费支出严格按预算规定项目的财务支出内容进行财务核算，在预算金额内严格控制费用的支出。</w:t>
      </w:r>
    </w:p>
    <w:p w:rsidR="00AA6677" w:rsidRPr="00AA6677" w:rsidRDefault="00AA6677" w:rsidP="003435A1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Calibri"/>
          <w:color w:val="000000" w:themeColor="text1"/>
          <w:kern w:val="0"/>
          <w:szCs w:val="21"/>
        </w:rPr>
      </w:pPr>
      <w:r w:rsidRPr="00AA6677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2.预算财务分析常态化，定期做好预算支出财务分析，做好单位整体支出预算评价工作。</w:t>
      </w:r>
    </w:p>
    <w:p w:rsidR="00AA6677" w:rsidRPr="00AA6677" w:rsidRDefault="00AA6677" w:rsidP="003435A1">
      <w:pPr>
        <w:widowControl/>
        <w:shd w:val="clear" w:color="auto" w:fill="FFFFFF"/>
        <w:spacing w:line="520" w:lineRule="exact"/>
        <w:ind w:firstLine="640"/>
        <w:rPr>
          <w:rFonts w:ascii="仿宋" w:eastAsia="仿宋" w:hAnsi="仿宋" w:cs="Calibri"/>
          <w:color w:val="000000" w:themeColor="text1"/>
          <w:kern w:val="0"/>
          <w:szCs w:val="21"/>
        </w:rPr>
      </w:pPr>
      <w:r w:rsidRPr="00AA6677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</w:rPr>
        <w:t>3.完善固定资产管理制度，从资产采购、使用以及报废各环节规范固定资产的管理，提高固定资产使用效率，减少资金浪费。</w:t>
      </w:r>
    </w:p>
    <w:p w:rsidR="00325354" w:rsidRDefault="00325354" w:rsidP="003435A1">
      <w:pPr>
        <w:widowControl/>
        <w:shd w:val="clear" w:color="auto" w:fill="FFFFFF"/>
        <w:spacing w:line="520" w:lineRule="exact"/>
        <w:ind w:firstLineChars="200" w:firstLine="380"/>
        <w:rPr>
          <w:rFonts w:ascii="仿宋" w:eastAsia="仿宋" w:hAnsi="仿宋" w:cs="Arial"/>
          <w:color w:val="000000" w:themeColor="text1"/>
          <w:kern w:val="0"/>
          <w:sz w:val="19"/>
          <w:szCs w:val="19"/>
        </w:rPr>
      </w:pPr>
    </w:p>
    <w:p w:rsidR="00CE7AE0" w:rsidRPr="003435A1" w:rsidRDefault="00CE7AE0" w:rsidP="003435A1">
      <w:pPr>
        <w:widowControl/>
        <w:shd w:val="clear" w:color="auto" w:fill="FFFFFF"/>
        <w:spacing w:line="520" w:lineRule="exact"/>
        <w:ind w:firstLineChars="200" w:firstLine="380"/>
        <w:rPr>
          <w:rFonts w:ascii="仿宋" w:eastAsia="仿宋" w:hAnsi="仿宋" w:cs="Arial"/>
          <w:color w:val="000000" w:themeColor="text1"/>
          <w:kern w:val="0"/>
          <w:sz w:val="19"/>
          <w:szCs w:val="19"/>
        </w:rPr>
      </w:pPr>
    </w:p>
    <w:p w:rsidR="00CE7AE0" w:rsidRPr="00CE7AE0" w:rsidRDefault="00CE7AE0" w:rsidP="00CE7AE0">
      <w:pPr>
        <w:spacing w:line="520" w:lineRule="exact"/>
        <w:ind w:firstLineChars="1300" w:firstLine="4160"/>
        <w:rPr>
          <w:rFonts w:ascii="仿宋" w:eastAsia="仿宋" w:hAnsi="仿宋"/>
          <w:color w:val="000000" w:themeColor="text1"/>
          <w:sz w:val="32"/>
          <w:szCs w:val="32"/>
        </w:rPr>
      </w:pPr>
      <w:r w:rsidRPr="00CE7AE0">
        <w:rPr>
          <w:rFonts w:ascii="仿宋" w:eastAsia="仿宋" w:hAnsi="仿宋" w:hint="eastAsia"/>
          <w:color w:val="000000" w:themeColor="text1"/>
          <w:sz w:val="32"/>
          <w:szCs w:val="32"/>
        </w:rPr>
        <w:t>沅江市路灯灯饰服务中心</w:t>
      </w:r>
    </w:p>
    <w:p w:rsidR="00CE7AE0" w:rsidRPr="00CE7AE0" w:rsidRDefault="00CE7AE0" w:rsidP="00CE7AE0">
      <w:pPr>
        <w:spacing w:line="520" w:lineRule="exact"/>
        <w:ind w:firstLineChars="1450" w:firstLine="4640"/>
        <w:rPr>
          <w:rFonts w:ascii="仿宋" w:eastAsia="仿宋" w:hAnsi="仿宋"/>
          <w:color w:val="000000" w:themeColor="text1"/>
          <w:sz w:val="32"/>
          <w:szCs w:val="32"/>
        </w:rPr>
      </w:pPr>
      <w:r w:rsidRPr="00CE7AE0">
        <w:rPr>
          <w:rFonts w:ascii="仿宋" w:eastAsia="仿宋" w:hAnsi="仿宋" w:hint="eastAsia"/>
          <w:color w:val="000000" w:themeColor="text1"/>
          <w:sz w:val="32"/>
          <w:szCs w:val="32"/>
        </w:rPr>
        <w:t>2021年7月15日</w:t>
      </w:r>
    </w:p>
    <w:sectPr w:rsidR="00CE7AE0" w:rsidRPr="00CE7AE0" w:rsidSect="00833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288" w:rsidRDefault="00FA6288" w:rsidP="0021712B">
      <w:r>
        <w:separator/>
      </w:r>
    </w:p>
  </w:endnote>
  <w:endnote w:type="continuationSeparator" w:id="1">
    <w:p w:rsidR="00FA6288" w:rsidRDefault="00FA6288" w:rsidP="00217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288" w:rsidRDefault="00FA6288" w:rsidP="0021712B">
      <w:r>
        <w:separator/>
      </w:r>
    </w:p>
  </w:footnote>
  <w:footnote w:type="continuationSeparator" w:id="1">
    <w:p w:rsidR="00FA6288" w:rsidRDefault="00FA6288" w:rsidP="002171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430"/>
    <w:multiLevelType w:val="hybridMultilevel"/>
    <w:tmpl w:val="A41400E8"/>
    <w:lvl w:ilvl="0" w:tplc="E2D6CEDE">
      <w:start w:val="1"/>
      <w:numFmt w:val="decimal"/>
      <w:lvlText w:val="%1、"/>
      <w:lvlJc w:val="left"/>
      <w:pPr>
        <w:ind w:left="1780" w:hanging="114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1C9218A"/>
    <w:multiLevelType w:val="hybridMultilevel"/>
    <w:tmpl w:val="A80A24DC"/>
    <w:lvl w:ilvl="0" w:tplc="04090019">
      <w:start w:val="1"/>
      <w:numFmt w:val="lowerLetter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354"/>
    <w:rsid w:val="00143B2D"/>
    <w:rsid w:val="0018265E"/>
    <w:rsid w:val="001B6BB9"/>
    <w:rsid w:val="0021712B"/>
    <w:rsid w:val="00325354"/>
    <w:rsid w:val="003435A1"/>
    <w:rsid w:val="00430C16"/>
    <w:rsid w:val="00436B23"/>
    <w:rsid w:val="0062150A"/>
    <w:rsid w:val="00634D2E"/>
    <w:rsid w:val="00637CFE"/>
    <w:rsid w:val="00701954"/>
    <w:rsid w:val="00703435"/>
    <w:rsid w:val="007E619F"/>
    <w:rsid w:val="008337A1"/>
    <w:rsid w:val="008A184F"/>
    <w:rsid w:val="00AA6677"/>
    <w:rsid w:val="00CE7AE0"/>
    <w:rsid w:val="00E70555"/>
    <w:rsid w:val="00F26DCC"/>
    <w:rsid w:val="00F27DE3"/>
    <w:rsid w:val="00FA6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5A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17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1712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17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1712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1712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171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7181">
                  <w:marLeft w:val="0"/>
                  <w:marRight w:val="0"/>
                  <w:marTop w:val="0"/>
                  <w:marBottom w:val="0"/>
                  <w:divBdr>
                    <w:top w:val="single" w:sz="2" w:space="7" w:color="E1E2E2"/>
                    <w:left w:val="single" w:sz="4" w:space="6" w:color="E1E2E2"/>
                    <w:bottom w:val="single" w:sz="4" w:space="0" w:color="E1E2E2"/>
                    <w:right w:val="single" w:sz="4" w:space="6" w:color="E1E2E2"/>
                  </w:divBdr>
                  <w:divsChild>
                    <w:div w:id="52501970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2" w:color="D8D8D8"/>
                        <w:left w:val="single" w:sz="4" w:space="12" w:color="D8D8D8"/>
                        <w:bottom w:val="single" w:sz="4" w:space="12" w:color="D8D8D8"/>
                        <w:right w:val="single" w:sz="4" w:space="12" w:color="D8D8D8"/>
                      </w:divBdr>
                      <w:divsChild>
                        <w:div w:id="101981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93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3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45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36" w:space="31" w:color="EEEEE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4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2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4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5669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6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66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9064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270</Words>
  <Characters>1540</Characters>
  <Application>Microsoft Office Word</Application>
  <DocSecurity>0</DocSecurity>
  <Lines>12</Lines>
  <Paragraphs>3</Paragraphs>
  <ScaleCrop>false</ScaleCrop>
  <Company>Microsoft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2023-05-23T07:55:00Z</cp:lastPrinted>
  <dcterms:created xsi:type="dcterms:W3CDTF">2023-05-23T08:12:00Z</dcterms:created>
  <dcterms:modified xsi:type="dcterms:W3CDTF">2023-05-23T08:12:00Z</dcterms:modified>
</cp:coreProperties>
</file>