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eastAsia="黑体"/>
          <w:kern w:val="0"/>
          <w:sz w:val="32"/>
          <w:szCs w:val="32"/>
        </w:rPr>
      </w:pPr>
    </w:p>
    <w:p>
      <w:pPr>
        <w:spacing w:line="600" w:lineRule="exact"/>
        <w:jc w:val="center"/>
        <w:rPr>
          <w:rFonts w:eastAsia="方正小标宋_GBK"/>
          <w:sz w:val="36"/>
          <w:szCs w:val="36"/>
        </w:rPr>
      </w:pPr>
      <w:r>
        <w:rPr>
          <w:rFonts w:hint="eastAsia" w:eastAsia="方正小标宋_GBK"/>
          <w:sz w:val="36"/>
          <w:szCs w:val="36"/>
          <w:lang w:eastAsia="zh-CN"/>
        </w:rPr>
        <w:t>沅江市园林绿化服务中心</w:t>
      </w:r>
      <w:r>
        <w:rPr>
          <w:rFonts w:eastAsia="方正小标宋_GBK"/>
          <w:sz w:val="36"/>
          <w:szCs w:val="36"/>
        </w:rPr>
        <w:t>部门整体支出</w:t>
      </w:r>
    </w:p>
    <w:p>
      <w:pPr>
        <w:spacing w:line="600" w:lineRule="exact"/>
        <w:jc w:val="center"/>
        <w:rPr>
          <w:rFonts w:eastAsia="方正小标宋_GBK"/>
          <w:sz w:val="32"/>
          <w:szCs w:val="32"/>
        </w:rPr>
      </w:pPr>
      <w:r>
        <w:rPr>
          <w:rFonts w:eastAsia="方正小标宋_GBK"/>
          <w:sz w:val="36"/>
          <w:szCs w:val="36"/>
        </w:rPr>
        <w:t>绩效评价报告</w:t>
      </w:r>
    </w:p>
    <w:p>
      <w:pPr>
        <w:pStyle w:val="5"/>
        <w:widowControl/>
        <w:numPr>
          <w:ilvl w:val="0"/>
          <w:numId w:val="1"/>
        </w:numPr>
        <w:spacing w:line="600" w:lineRule="exact"/>
        <w:ind w:left="640" w:firstLine="0" w:firstLineChars="0"/>
        <w:rPr>
          <w:rFonts w:ascii="Times New Roman" w:hAnsi="Times New Roman" w:eastAsia="黑体"/>
          <w:sz w:val="32"/>
          <w:szCs w:val="32"/>
        </w:rPr>
      </w:pPr>
      <w:r>
        <w:rPr>
          <w:rFonts w:ascii="Times New Roman" w:hAnsi="Times New Roman" w:eastAsia="黑体"/>
          <w:sz w:val="32"/>
          <w:szCs w:val="32"/>
        </w:rPr>
        <w:t>部门、单位基本情况</w:t>
      </w:r>
    </w:p>
    <w:p>
      <w:pPr>
        <w:widowControl/>
        <w:spacing w:line="600" w:lineRule="exact"/>
        <w:ind w:firstLine="630" w:firstLineChars="196"/>
        <w:jc w:val="left"/>
        <w:rPr>
          <w:rFonts w:eastAsia="楷体_GB2312"/>
          <w:b/>
          <w:sz w:val="32"/>
          <w:szCs w:val="32"/>
        </w:rPr>
      </w:pPr>
      <w:r>
        <w:rPr>
          <w:rFonts w:eastAsia="楷体_GB2312"/>
          <w:b/>
          <w:sz w:val="32"/>
          <w:szCs w:val="32"/>
        </w:rPr>
        <w:t>（一）职能职责。</w:t>
      </w:r>
    </w:p>
    <w:p>
      <w:pPr>
        <w:pStyle w:val="5"/>
        <w:ind w:left="720" w:firstLine="0" w:firstLineChars="0"/>
        <w:jc w:val="left"/>
        <w:rPr>
          <w:rFonts w:hint="eastAsia" w:ascii="仿宋_GB2312" w:hAnsi="仿宋_GB2312" w:eastAsia="宋体"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eastAsia" w:ascii="仿宋_GB2312" w:hAnsi="仿宋_GB2312" w:eastAsia="宋体" w:cs="Times New Roman"/>
          <w:kern w:val="2"/>
          <w:sz w:val="32"/>
          <w:szCs w:val="32"/>
          <w:lang w:val="en-US" w:eastAsia="zh-CN" w:bidi="ar-SA"/>
        </w:rPr>
        <w:t>协助主管部门拟定全市城市园林绿化中长期规划；</w:t>
      </w:r>
    </w:p>
    <w:p>
      <w:pPr>
        <w:pStyle w:val="5"/>
        <w:ind w:left="720" w:firstLine="0" w:firstLineChars="0"/>
        <w:jc w:val="left"/>
        <w:rPr>
          <w:rFonts w:hint="eastAsia" w:ascii="仿宋_GB2312" w:hAnsi="仿宋_GB2312" w:eastAsia="宋体"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eastAsia" w:ascii="仿宋_GB2312" w:hAnsi="仿宋_GB2312" w:eastAsia="宋体" w:cs="Times New Roman"/>
          <w:kern w:val="2"/>
          <w:sz w:val="32"/>
          <w:szCs w:val="32"/>
          <w:lang w:val="en-US" w:eastAsia="zh-CN" w:bidi="ar-SA"/>
        </w:rPr>
        <w:t>协助主管部门实施城市公共绿地占用（含临时占用）、改变绿地性质和移伐、修剪树木等绿化养护招投标工作；</w:t>
      </w:r>
    </w:p>
    <w:p>
      <w:pPr>
        <w:pStyle w:val="5"/>
        <w:ind w:left="720" w:firstLine="0" w:firstLineChars="0"/>
        <w:jc w:val="left"/>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（3）协助主管部门编制城市园林绿化建设项目工程预结算的初审；</w:t>
      </w:r>
    </w:p>
    <w:p>
      <w:pPr>
        <w:pStyle w:val="5"/>
        <w:ind w:left="720" w:firstLine="0" w:firstLineChars="0"/>
        <w:jc w:val="left"/>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（4）参与全市园林绿化苗木信息价格采集与发布；</w:t>
      </w:r>
    </w:p>
    <w:p>
      <w:pPr>
        <w:pStyle w:val="5"/>
        <w:ind w:left="720" w:firstLine="0" w:firstLineChars="0"/>
        <w:jc w:val="left"/>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（5）负责中心城区公共绿地的新建及日常管理养护和巡查；</w:t>
      </w:r>
    </w:p>
    <w:p>
      <w:pPr>
        <w:pStyle w:val="5"/>
        <w:ind w:left="720" w:firstLine="0" w:firstLineChars="0"/>
        <w:jc w:val="left"/>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（6）协助主管部门开展城市规划区全民义务植树活动和城市绿地认建、认养、认管等群众性绿化活动；</w:t>
      </w:r>
    </w:p>
    <w:p>
      <w:pPr>
        <w:pStyle w:val="5"/>
        <w:ind w:left="720" w:firstLine="0" w:firstLineChars="0"/>
        <w:jc w:val="left"/>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（7）指导、协调全市园林绿化苗木、花卉生产；</w:t>
      </w:r>
    </w:p>
    <w:p>
      <w:pPr>
        <w:pStyle w:val="5"/>
        <w:ind w:left="720" w:firstLine="0" w:firstLineChars="0"/>
        <w:jc w:val="left"/>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（8）参与城市园林绿化养护和管理考核、统计和宣传教育工作；</w:t>
      </w:r>
    </w:p>
    <w:p>
      <w:pPr>
        <w:pStyle w:val="5"/>
        <w:ind w:left="720" w:firstLine="0" w:firstLineChars="0"/>
        <w:jc w:val="left"/>
        <w:rPr>
          <w:rFonts w:hint="eastAsia" w:ascii="仿宋_GB2312" w:hAnsi="仿宋_GB2312" w:eastAsia="宋体"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eastAsia" w:ascii="仿宋_GB2312" w:hAnsi="仿宋_GB2312" w:eastAsia="宋体" w:cs="Times New Roman"/>
          <w:kern w:val="2"/>
          <w:sz w:val="32"/>
          <w:szCs w:val="32"/>
          <w:lang w:val="en-US" w:eastAsia="zh-CN" w:bidi="ar-SA"/>
        </w:rPr>
        <w:t>9）负责园林绿化科技攻关和科技成果的转化、应用、推广以及新技术的开发引进工作；</w:t>
      </w:r>
    </w:p>
    <w:p>
      <w:pPr>
        <w:pStyle w:val="5"/>
        <w:ind w:left="720" w:firstLine="0" w:firstLineChars="0"/>
        <w:jc w:val="left"/>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（10）负责对园林绿化设施的日常巡查，协助执法部门依法查处破坏园林绿化设施的违法、违规行为。</w:t>
      </w:r>
    </w:p>
    <w:p>
      <w:pPr>
        <w:widowControl/>
        <w:spacing w:line="600" w:lineRule="exact"/>
        <w:ind w:firstLine="630" w:firstLineChars="196"/>
        <w:jc w:val="left"/>
        <w:rPr>
          <w:rFonts w:eastAsia="楷体_GB2312"/>
          <w:b/>
          <w:sz w:val="32"/>
          <w:szCs w:val="32"/>
        </w:rPr>
      </w:pPr>
      <w:r>
        <w:rPr>
          <w:rFonts w:eastAsia="楷体_GB2312"/>
          <w:b/>
          <w:sz w:val="32"/>
          <w:szCs w:val="32"/>
        </w:rPr>
        <w:t>（二）机构设置。</w:t>
      </w:r>
    </w:p>
    <w:p>
      <w:pPr>
        <w:pStyle w:val="2"/>
        <w:spacing w:before="0" w:beforeAutospacing="0" w:after="0" w:afterAutospacing="0" w:line="600" w:lineRule="exact"/>
        <w:ind w:firstLine="640" w:firstLineChars="200"/>
        <w:jc w:val="both"/>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根据编委核定，沅江市园林绿化服务中心系城市管理和综合执法局下属差额拨款性质的副科级事业单位。现有干职工54人（其中，退休18人，在职36人），内设办公室、财务股、园林建设股、园林管理股和园林监察五个股室。</w:t>
      </w:r>
    </w:p>
    <w:p>
      <w:pPr>
        <w:pStyle w:val="5"/>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5"/>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基本支出</w:t>
      </w:r>
      <w:r>
        <w:rPr>
          <w:rFonts w:hint="eastAsia" w:ascii="Times New Roman" w:hAnsi="Times New Roman" w:eastAsia="黑体"/>
          <w:sz w:val="32"/>
          <w:szCs w:val="32"/>
          <w:lang w:eastAsia="zh-CN"/>
        </w:rPr>
        <w:t>的管理与使用</w:t>
      </w:r>
      <w:r>
        <w:rPr>
          <w:rFonts w:ascii="Times New Roman" w:hAnsi="Times New Roman" w:eastAsia="黑体"/>
          <w:sz w:val="32"/>
          <w:szCs w:val="32"/>
        </w:rPr>
        <w:t>情况</w:t>
      </w:r>
    </w:p>
    <w:p>
      <w:pPr>
        <w:spacing w:line="520" w:lineRule="exact"/>
        <w:ind w:firstLine="640"/>
        <w:rPr>
          <w:rFonts w:hint="eastAsia" w:ascii="仿宋_GB2312" w:hAnsi="仿宋_GB2312" w:eastAsia="宋体" w:cs="Times New Roman"/>
          <w:kern w:val="2"/>
          <w:sz w:val="32"/>
          <w:szCs w:val="32"/>
          <w:lang w:val="en-US" w:eastAsia="zh-CN" w:bidi="ar-SA"/>
        </w:rPr>
      </w:pPr>
      <w:r>
        <w:rPr>
          <w:rFonts w:hint="eastAsia" w:ascii="仿宋_GB2312" w:hAnsi="仿宋_GB2312" w:cs="Times New Roman"/>
          <w:kern w:val="2"/>
          <w:sz w:val="32"/>
          <w:szCs w:val="32"/>
          <w:lang w:val="en-US" w:eastAsia="zh-CN" w:bidi="ar-SA"/>
        </w:rPr>
        <w:t>1、</w:t>
      </w:r>
      <w:r>
        <w:rPr>
          <w:rFonts w:hint="eastAsia" w:ascii="仿宋_GB2312" w:hAnsi="仿宋_GB2312" w:eastAsia="宋体" w:cs="Times New Roman"/>
          <w:kern w:val="2"/>
          <w:sz w:val="32"/>
          <w:szCs w:val="32"/>
          <w:lang w:val="en-US" w:eastAsia="zh-CN" w:bidi="ar-SA"/>
        </w:rPr>
        <w:t>2021年收入实际完成1187万元。其中：一般公共预算财政拨款收入完成613万元，</w:t>
      </w:r>
      <w:r>
        <w:rPr>
          <w:rFonts w:hint="eastAsia" w:ascii="仿宋_GB2312" w:hAnsi="仿宋_GB2312" w:eastAsia="宋体" w:cs="Times New Roman"/>
          <w:kern w:val="2"/>
          <w:sz w:val="32"/>
          <w:szCs w:val="32"/>
          <w:lang w:val="zh-CN" w:eastAsia="zh-CN" w:bidi="ar-SA"/>
        </w:rPr>
        <w:t>变化的主要原因是：</w:t>
      </w:r>
      <w:r>
        <w:rPr>
          <w:rFonts w:hint="eastAsia" w:ascii="仿宋_GB2312" w:hAnsi="仿宋_GB2312" w:eastAsia="宋体" w:cs="Times New Roman"/>
          <w:kern w:val="2"/>
          <w:sz w:val="32"/>
          <w:szCs w:val="32"/>
          <w:lang w:val="en-US" w:eastAsia="zh-CN" w:bidi="ar-SA"/>
        </w:rPr>
        <w:t>项目资金增加；政府性基金财政拨款收入完成527.7万元，</w:t>
      </w:r>
      <w:r>
        <w:rPr>
          <w:rFonts w:hint="eastAsia" w:ascii="仿宋_GB2312" w:hAnsi="仿宋_GB2312" w:eastAsia="宋体" w:cs="Times New Roman"/>
          <w:kern w:val="2"/>
          <w:sz w:val="32"/>
          <w:szCs w:val="32"/>
          <w:lang w:val="zh-CN" w:eastAsia="zh-CN" w:bidi="ar-SA"/>
        </w:rPr>
        <w:t>变化的主要原因是</w:t>
      </w:r>
      <w:r>
        <w:rPr>
          <w:rFonts w:hint="eastAsia" w:ascii="仿宋_GB2312" w:hAnsi="仿宋_GB2312" w:eastAsia="宋体" w:cs="Times New Roman"/>
          <w:kern w:val="2"/>
          <w:sz w:val="32"/>
          <w:szCs w:val="32"/>
          <w:lang w:val="en-US" w:eastAsia="zh-CN" w:bidi="ar-SA"/>
        </w:rPr>
        <w:t>项目资金增加；上级补助收入完成28.8万元，其他收入完成17.2万元，</w:t>
      </w:r>
      <w:r>
        <w:rPr>
          <w:rFonts w:hint="eastAsia" w:ascii="仿宋_GB2312" w:hAnsi="仿宋_GB2312" w:eastAsia="宋体" w:cs="Times New Roman"/>
          <w:kern w:val="2"/>
          <w:sz w:val="32"/>
          <w:szCs w:val="32"/>
          <w:lang w:val="zh-CN" w:eastAsia="zh-CN" w:bidi="ar-SA"/>
        </w:rPr>
        <w:t>变化的主要原因是：经费正常增减变动</w:t>
      </w:r>
      <w:r>
        <w:rPr>
          <w:rFonts w:hint="eastAsia" w:ascii="仿宋_GB2312" w:hAnsi="仿宋_GB2312" w:eastAsia="宋体" w:cs="Times New Roman"/>
          <w:kern w:val="2"/>
          <w:sz w:val="32"/>
          <w:szCs w:val="32"/>
          <w:lang w:val="en-US" w:eastAsia="zh-CN" w:bidi="ar-SA"/>
        </w:rPr>
        <w:t>。</w:t>
      </w:r>
    </w:p>
    <w:p>
      <w:pPr>
        <w:spacing w:line="520" w:lineRule="exact"/>
        <w:ind w:firstLine="640"/>
        <w:rPr>
          <w:rFonts w:hint="eastAsia" w:ascii="仿宋_GB2312" w:hAnsi="仿宋_GB2312" w:eastAsia="宋体" w:cs="Times New Roman"/>
          <w:kern w:val="2"/>
          <w:sz w:val="32"/>
          <w:szCs w:val="32"/>
          <w:lang w:val="zh-CN" w:eastAsia="zh-CN" w:bidi="ar-SA"/>
        </w:rPr>
      </w:pPr>
      <w:r>
        <w:rPr>
          <w:rFonts w:hint="eastAsia" w:ascii="仿宋_GB2312" w:hAnsi="仿宋_GB2312" w:cs="Times New Roman"/>
          <w:kern w:val="2"/>
          <w:sz w:val="32"/>
          <w:szCs w:val="32"/>
          <w:lang w:val="en-US" w:eastAsia="zh-CN" w:bidi="ar-SA"/>
        </w:rPr>
        <w:t>2、</w:t>
      </w:r>
      <w:r>
        <w:rPr>
          <w:rFonts w:hint="eastAsia" w:ascii="仿宋_GB2312" w:hAnsi="仿宋_GB2312" w:eastAsia="宋体" w:cs="Times New Roman"/>
          <w:kern w:val="2"/>
          <w:sz w:val="32"/>
          <w:szCs w:val="32"/>
          <w:lang w:val="en-US" w:eastAsia="zh-CN" w:bidi="ar-SA"/>
        </w:rPr>
        <w:t>2021年，本部门支出1187万元，</w:t>
      </w:r>
      <w:r>
        <w:rPr>
          <w:rFonts w:hint="eastAsia" w:ascii="仿宋_GB2312" w:hAnsi="仿宋_GB2312" w:eastAsia="宋体" w:cs="Times New Roman"/>
          <w:kern w:val="2"/>
          <w:sz w:val="32"/>
          <w:szCs w:val="32"/>
          <w:lang w:val="zh-CN" w:eastAsia="zh-CN" w:bidi="ar-SA"/>
        </w:rPr>
        <w:t>变化的主要原因</w:t>
      </w:r>
      <w:r>
        <w:rPr>
          <w:rFonts w:hint="eastAsia" w:ascii="仿宋_GB2312" w:hAnsi="仿宋_GB2312" w:eastAsia="宋体" w:cs="Times New Roman"/>
          <w:kern w:val="2"/>
          <w:sz w:val="32"/>
          <w:szCs w:val="32"/>
          <w:lang w:val="en-US" w:eastAsia="zh-CN" w:bidi="ar-SA"/>
        </w:rPr>
        <w:t>：资金正常变动。其中：基本支出完成495万元，项目支出691.8万元。</w:t>
      </w:r>
      <w:r>
        <w:rPr>
          <w:rFonts w:hint="eastAsia" w:ascii="仿宋_GB2312" w:hAnsi="仿宋_GB2312" w:eastAsia="宋体" w:cs="Times New Roman"/>
          <w:kern w:val="2"/>
          <w:sz w:val="32"/>
          <w:szCs w:val="32"/>
          <w:lang w:val="zh-CN" w:eastAsia="zh-CN" w:bidi="ar-SA"/>
        </w:rPr>
        <w:t>变化的主要原因：</w:t>
      </w:r>
      <w:r>
        <w:rPr>
          <w:rFonts w:hint="eastAsia" w:ascii="仿宋_GB2312" w:hAnsi="仿宋_GB2312" w:eastAsia="宋体" w:cs="Times New Roman"/>
          <w:kern w:val="2"/>
          <w:sz w:val="32"/>
          <w:szCs w:val="32"/>
          <w:lang w:val="en-US" w:eastAsia="zh-CN" w:bidi="ar-SA"/>
        </w:rPr>
        <w:t>资金正常变动。</w:t>
      </w:r>
      <w:r>
        <w:rPr>
          <w:rFonts w:hint="eastAsia" w:ascii="仿宋_GB2312" w:hAnsi="仿宋_GB2312" w:eastAsia="宋体" w:cs="Times New Roman"/>
          <w:kern w:val="2"/>
          <w:sz w:val="32"/>
          <w:szCs w:val="32"/>
          <w:lang w:val="zh-CN" w:eastAsia="zh-CN" w:bidi="ar-SA"/>
        </w:rPr>
        <w:t>人员经费</w:t>
      </w:r>
      <w:r>
        <w:rPr>
          <w:rFonts w:hint="eastAsia" w:ascii="仿宋_GB2312" w:hAnsi="仿宋_GB2312" w:eastAsia="宋体" w:cs="Times New Roman"/>
          <w:kern w:val="2"/>
          <w:sz w:val="32"/>
          <w:szCs w:val="32"/>
          <w:lang w:val="en-US" w:eastAsia="zh-CN" w:bidi="ar-SA"/>
        </w:rPr>
        <w:t>完成47万元，</w:t>
      </w:r>
      <w:r>
        <w:rPr>
          <w:rFonts w:hint="eastAsia" w:ascii="仿宋_GB2312" w:hAnsi="仿宋_GB2312" w:eastAsia="宋体" w:cs="Times New Roman"/>
          <w:kern w:val="2"/>
          <w:sz w:val="32"/>
          <w:szCs w:val="32"/>
          <w:lang w:val="zh-CN" w:eastAsia="zh-CN" w:bidi="ar-SA"/>
        </w:rPr>
        <w:t>变化的主要原因：</w:t>
      </w:r>
      <w:r>
        <w:rPr>
          <w:rFonts w:hint="eastAsia" w:ascii="仿宋_GB2312" w:hAnsi="仿宋_GB2312" w:eastAsia="宋体" w:cs="Times New Roman"/>
          <w:kern w:val="2"/>
          <w:sz w:val="32"/>
          <w:szCs w:val="32"/>
          <w:lang w:val="en-US" w:eastAsia="zh-CN" w:bidi="ar-SA"/>
        </w:rPr>
        <w:t>资金正常变动；公用</w:t>
      </w:r>
      <w:r>
        <w:rPr>
          <w:rFonts w:hint="eastAsia" w:ascii="仿宋_GB2312" w:hAnsi="仿宋_GB2312" w:eastAsia="宋体" w:cs="Times New Roman"/>
          <w:kern w:val="2"/>
          <w:sz w:val="32"/>
          <w:szCs w:val="32"/>
          <w:lang w:val="zh-CN" w:eastAsia="zh-CN" w:bidi="ar-SA"/>
        </w:rPr>
        <w:t>经费</w:t>
      </w:r>
      <w:r>
        <w:rPr>
          <w:rFonts w:hint="eastAsia" w:ascii="仿宋_GB2312" w:hAnsi="仿宋_GB2312" w:eastAsia="宋体" w:cs="Times New Roman"/>
          <w:kern w:val="2"/>
          <w:sz w:val="32"/>
          <w:szCs w:val="32"/>
          <w:lang w:val="en-US" w:eastAsia="zh-CN" w:bidi="ar-SA"/>
        </w:rPr>
        <w:t>完成25万元，</w:t>
      </w:r>
      <w:r>
        <w:rPr>
          <w:rFonts w:hint="eastAsia" w:ascii="仿宋_GB2312" w:hAnsi="仿宋_GB2312" w:eastAsia="宋体" w:cs="Times New Roman"/>
          <w:kern w:val="2"/>
          <w:sz w:val="32"/>
          <w:szCs w:val="32"/>
          <w:lang w:val="zh-CN" w:eastAsia="zh-CN" w:bidi="ar-SA"/>
        </w:rPr>
        <w:t>变化的主要原因：</w:t>
      </w:r>
      <w:r>
        <w:rPr>
          <w:rFonts w:hint="eastAsia" w:ascii="仿宋_GB2312" w:hAnsi="仿宋_GB2312" w:eastAsia="宋体" w:cs="Times New Roman"/>
          <w:kern w:val="2"/>
          <w:sz w:val="32"/>
          <w:szCs w:val="32"/>
          <w:lang w:val="en-US" w:eastAsia="zh-CN" w:bidi="ar-SA"/>
        </w:rPr>
        <w:t>项目经费弥补公用经费预算不足</w:t>
      </w:r>
      <w:r>
        <w:rPr>
          <w:rFonts w:hint="eastAsia" w:ascii="仿宋_GB2312" w:hAnsi="仿宋_GB2312" w:eastAsia="宋体" w:cs="Times New Roman"/>
          <w:kern w:val="2"/>
          <w:sz w:val="32"/>
          <w:szCs w:val="32"/>
          <w:lang w:val="zh-CN" w:eastAsia="zh-CN" w:bidi="ar-SA"/>
        </w:rPr>
        <w:t>。</w:t>
      </w:r>
    </w:p>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cs="Times New Roman"/>
          <w:kern w:val="2"/>
          <w:sz w:val="32"/>
          <w:szCs w:val="32"/>
          <w:lang w:val="en-US" w:eastAsia="zh-CN" w:bidi="ar-SA"/>
        </w:rPr>
        <w:t>3、</w:t>
      </w:r>
      <w:r>
        <w:rPr>
          <w:rFonts w:hint="eastAsia" w:ascii="仿宋_GB2312" w:hAnsi="仿宋_GB2312" w:eastAsia="宋体" w:cs="Times New Roman"/>
          <w:kern w:val="2"/>
          <w:sz w:val="32"/>
          <w:szCs w:val="32"/>
          <w:lang w:val="en-US" w:eastAsia="zh-CN" w:bidi="ar-SA"/>
        </w:rPr>
        <w:t>收入支出与预算对比分析。</w:t>
      </w:r>
    </w:p>
    <w:p>
      <w:pPr>
        <w:spacing w:beforeLines="50" w:afterLines="50" w:line="520" w:lineRule="exact"/>
        <w:ind w:firstLine="420"/>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（1）预、决算差异情况，可分收入支出功能科目、分单位、分收入支出具体项目逐项对比（可列表）。</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89"/>
        <w:gridCol w:w="1775"/>
        <w:gridCol w:w="1893"/>
        <w:gridCol w:w="1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宋体"/>
                <w:sz w:val="24"/>
                <w:szCs w:val="24"/>
              </w:rPr>
            </w:pPr>
            <w:r>
              <w:rPr>
                <w:rFonts w:hint="eastAsia" w:ascii="宋体" w:hAnsi="宋体"/>
                <w:sz w:val="24"/>
                <w:szCs w:val="24"/>
              </w:rPr>
              <w:t>项目(按支出性质</w:t>
            </w:r>
          </w:p>
          <w:p>
            <w:pPr>
              <w:spacing w:line="360" w:lineRule="exact"/>
              <w:jc w:val="center"/>
              <w:rPr>
                <w:rFonts w:hint="eastAsia" w:ascii="宋体" w:hAnsi="宋体"/>
                <w:sz w:val="24"/>
                <w:szCs w:val="24"/>
              </w:rPr>
            </w:pPr>
            <w:r>
              <w:rPr>
                <w:rFonts w:hint="eastAsia" w:ascii="宋体" w:hAnsi="宋体"/>
                <w:sz w:val="24"/>
                <w:szCs w:val="24"/>
              </w:rPr>
              <w:t>和经济分类)</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spacing w:line="360" w:lineRule="exact"/>
              <w:jc w:val="center"/>
              <w:rPr>
                <w:rFonts w:hint="eastAsia" w:ascii="宋体"/>
                <w:sz w:val="24"/>
                <w:szCs w:val="24"/>
              </w:rPr>
            </w:pPr>
            <w:r>
              <w:rPr>
                <w:rFonts w:hint="eastAsia" w:ascii="宋体" w:hAnsi="宋体"/>
                <w:sz w:val="24"/>
                <w:szCs w:val="24"/>
              </w:rPr>
              <w:t>年初预算</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spacing w:line="360" w:lineRule="exact"/>
              <w:jc w:val="center"/>
              <w:rPr>
                <w:rFonts w:hint="eastAsia" w:ascii="宋体"/>
                <w:sz w:val="24"/>
                <w:szCs w:val="24"/>
              </w:rPr>
            </w:pPr>
            <w:r>
              <w:rPr>
                <w:rFonts w:hint="eastAsia" w:ascii="宋体" w:hAnsi="宋体"/>
                <w:sz w:val="24"/>
                <w:szCs w:val="24"/>
              </w:rPr>
              <w:t>收入决算数</w:t>
            </w:r>
          </w:p>
        </w:tc>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autoSpaceDN w:val="0"/>
              <w:adjustRightInd w:val="0"/>
              <w:spacing w:line="360" w:lineRule="exact"/>
              <w:jc w:val="center"/>
              <w:rPr>
                <w:rFonts w:hint="eastAsia" w:ascii="宋体"/>
                <w:sz w:val="24"/>
                <w:szCs w:val="24"/>
              </w:rPr>
            </w:pPr>
            <w:r>
              <w:rPr>
                <w:rFonts w:hint="eastAsia" w:ascii="宋体" w:hAnsi="宋体"/>
                <w:sz w:val="24"/>
                <w:szCs w:val="24"/>
              </w:rPr>
              <w:t>支出决算数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宋体"/>
                <w:sz w:val="24"/>
                <w:szCs w:val="24"/>
              </w:rPr>
            </w:pPr>
            <w:r>
              <w:rPr>
                <w:rFonts w:hint="eastAsia" w:ascii="宋体" w:hAnsi="宋体"/>
                <w:sz w:val="24"/>
                <w:szCs w:val="24"/>
              </w:rPr>
              <w:t>一、基本支出</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right"/>
              <w:textAlignment w:val="center"/>
              <w:rPr>
                <w:rFonts w:hint="eastAsia" w:ascii="宋体" w:hAnsi="宋体"/>
                <w:sz w:val="24"/>
                <w:szCs w:val="24"/>
              </w:rPr>
            </w:pPr>
            <w:r>
              <w:rPr>
                <w:rFonts w:hint="eastAsia" w:ascii="宋体" w:hAnsi="宋体" w:cs="宋体"/>
                <w:color w:val="000000"/>
                <w:kern w:val="0"/>
                <w:sz w:val="22"/>
                <w:szCs w:val="22"/>
                <w:lang w:val="en-US" w:eastAsia="zh-CN" w:bidi="ar"/>
              </w:rPr>
              <w:t>2,312,660.00</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right"/>
              <w:textAlignment w:val="center"/>
              <w:rPr>
                <w:rFonts w:hint="eastAsia" w:ascii="宋体"/>
                <w:color w:val="000000"/>
                <w:sz w:val="24"/>
                <w:szCs w:val="24"/>
              </w:rPr>
            </w:pPr>
            <w:r>
              <w:rPr>
                <w:rFonts w:hint="eastAsia" w:ascii="宋体" w:hAnsi="宋体" w:cs="宋体"/>
                <w:color w:val="000000"/>
                <w:kern w:val="0"/>
                <w:sz w:val="22"/>
                <w:szCs w:val="22"/>
                <w:lang w:val="en-US" w:eastAsia="zh-CN" w:bidi="ar"/>
              </w:rPr>
              <w:t>4,949,822.89</w:t>
            </w:r>
          </w:p>
        </w:tc>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right"/>
              <w:textAlignment w:val="center"/>
              <w:rPr>
                <w:rFonts w:hint="eastAsia" w:ascii="宋体"/>
                <w:sz w:val="24"/>
                <w:szCs w:val="24"/>
              </w:rPr>
            </w:pPr>
            <w:r>
              <w:rPr>
                <w:rFonts w:hint="eastAsia" w:ascii="宋体" w:hAnsi="宋体" w:cs="宋体"/>
                <w:color w:val="000000"/>
                <w:kern w:val="0"/>
                <w:sz w:val="22"/>
                <w:szCs w:val="22"/>
                <w:lang w:val="en-US" w:eastAsia="zh-CN" w:bidi="ar"/>
              </w:rPr>
              <w:t>4,949,822.89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宋体"/>
                <w:sz w:val="24"/>
                <w:szCs w:val="24"/>
              </w:rPr>
            </w:pPr>
            <w:r>
              <w:rPr>
                <w:rFonts w:hint="eastAsia" w:ascii="宋体" w:hAnsi="宋体"/>
                <w:sz w:val="24"/>
                <w:szCs w:val="24"/>
              </w:rPr>
              <w:t>人员经费</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right"/>
              <w:textAlignment w:val="center"/>
              <w:rPr>
                <w:rFonts w:hint="eastAsia" w:ascii="宋体" w:hAnsi="宋体"/>
                <w:sz w:val="24"/>
                <w:szCs w:val="24"/>
              </w:rPr>
            </w:pPr>
            <w:r>
              <w:rPr>
                <w:rFonts w:hint="eastAsia" w:ascii="宋体" w:hAnsi="宋体" w:cs="宋体"/>
                <w:color w:val="000000"/>
                <w:kern w:val="0"/>
                <w:sz w:val="22"/>
                <w:szCs w:val="22"/>
                <w:lang w:val="en-US" w:eastAsia="zh-CN" w:bidi="ar"/>
              </w:rPr>
              <w:t>2,192,659.00</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right"/>
              <w:textAlignment w:val="center"/>
              <w:rPr>
                <w:rFonts w:hint="eastAsia" w:ascii="宋体"/>
                <w:color w:val="000000"/>
                <w:sz w:val="24"/>
                <w:szCs w:val="24"/>
                <w:lang w:val="en-US" w:eastAsia="zh-CN"/>
              </w:rPr>
            </w:pPr>
            <w:r>
              <w:rPr>
                <w:rFonts w:hint="eastAsia" w:ascii="宋体" w:hAnsi="宋体" w:cs="宋体"/>
                <w:color w:val="000000"/>
                <w:kern w:val="0"/>
                <w:sz w:val="22"/>
                <w:szCs w:val="22"/>
                <w:lang w:val="en-US" w:eastAsia="zh-CN" w:bidi="ar"/>
              </w:rPr>
              <w:t>4,699,694.91</w:t>
            </w:r>
          </w:p>
        </w:tc>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right"/>
              <w:textAlignment w:val="center"/>
              <w:rPr>
                <w:rFonts w:hint="eastAsia" w:ascii="宋体"/>
                <w:sz w:val="24"/>
                <w:szCs w:val="24"/>
              </w:rPr>
            </w:pPr>
            <w:r>
              <w:rPr>
                <w:rFonts w:hint="eastAsia" w:ascii="宋体" w:hAnsi="宋体" w:cs="宋体"/>
                <w:color w:val="000000"/>
                <w:kern w:val="0"/>
                <w:sz w:val="22"/>
                <w:szCs w:val="22"/>
                <w:lang w:val="en-US" w:eastAsia="zh-CN" w:bidi="ar"/>
              </w:rPr>
              <w:t>4,699,694.91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宋体"/>
                <w:sz w:val="24"/>
                <w:szCs w:val="24"/>
              </w:rPr>
            </w:pPr>
            <w:r>
              <w:rPr>
                <w:rFonts w:hint="eastAsia" w:ascii="宋体" w:hAnsi="宋体"/>
                <w:sz w:val="24"/>
                <w:szCs w:val="24"/>
              </w:rPr>
              <w:t>日常公用经费</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right"/>
              <w:textAlignment w:val="center"/>
              <w:rPr>
                <w:rFonts w:hint="eastAsia" w:ascii="宋体" w:hAnsi="宋体"/>
                <w:sz w:val="24"/>
                <w:szCs w:val="24"/>
              </w:rPr>
            </w:pPr>
            <w:r>
              <w:rPr>
                <w:rFonts w:hint="eastAsia" w:ascii="宋体" w:hAnsi="宋体" w:cs="宋体"/>
                <w:color w:val="000000"/>
                <w:kern w:val="0"/>
                <w:sz w:val="22"/>
                <w:szCs w:val="22"/>
                <w:lang w:val="en-US" w:eastAsia="zh-CN" w:bidi="ar"/>
              </w:rPr>
              <w:t>120,001.00</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right"/>
              <w:textAlignment w:val="center"/>
              <w:rPr>
                <w:rFonts w:hint="eastAsia" w:ascii="宋体"/>
                <w:color w:val="000000"/>
                <w:sz w:val="24"/>
                <w:szCs w:val="24"/>
              </w:rPr>
            </w:pPr>
            <w:r>
              <w:rPr>
                <w:rFonts w:hint="eastAsia" w:ascii="宋体" w:hAnsi="宋体" w:cs="宋体"/>
                <w:color w:val="000000"/>
                <w:kern w:val="0"/>
                <w:sz w:val="22"/>
                <w:szCs w:val="22"/>
                <w:lang w:val="en-US" w:eastAsia="zh-CN" w:bidi="ar"/>
              </w:rPr>
              <w:t>250,127.98</w:t>
            </w:r>
          </w:p>
        </w:tc>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right"/>
              <w:textAlignment w:val="center"/>
              <w:rPr>
                <w:rFonts w:hint="eastAsia" w:ascii="宋体"/>
                <w:sz w:val="24"/>
                <w:szCs w:val="24"/>
              </w:rPr>
            </w:pPr>
            <w:r>
              <w:rPr>
                <w:rFonts w:hint="eastAsia" w:ascii="宋体" w:hAnsi="宋体" w:cs="宋体"/>
                <w:color w:val="000000"/>
                <w:kern w:val="0"/>
                <w:sz w:val="22"/>
                <w:szCs w:val="22"/>
                <w:lang w:val="en-US" w:eastAsia="zh-CN" w:bidi="ar"/>
              </w:rPr>
              <w:t>250,127.98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宋体"/>
                <w:sz w:val="24"/>
                <w:szCs w:val="24"/>
              </w:rPr>
            </w:pPr>
            <w:r>
              <w:rPr>
                <w:rFonts w:hint="eastAsia" w:ascii="宋体" w:hAnsi="宋体"/>
                <w:sz w:val="24"/>
                <w:szCs w:val="24"/>
              </w:rPr>
              <w:t>二、项目支出</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right"/>
              <w:textAlignment w:val="center"/>
              <w:rPr>
                <w:rFonts w:hint="eastAsia" w:ascii="宋体" w:hAnsi="宋体"/>
                <w:sz w:val="24"/>
                <w:szCs w:val="24"/>
              </w:rPr>
            </w:pPr>
            <w:r>
              <w:rPr>
                <w:rFonts w:hint="eastAsia" w:ascii="宋体" w:hAnsi="宋体" w:cs="宋体"/>
                <w:color w:val="000000"/>
                <w:kern w:val="0"/>
                <w:sz w:val="22"/>
                <w:szCs w:val="22"/>
                <w:lang w:val="en-US" w:eastAsia="zh-CN" w:bidi="ar"/>
              </w:rPr>
              <w:t>3,633,000.00</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right"/>
              <w:textAlignment w:val="center"/>
              <w:rPr>
                <w:rFonts w:hint="eastAsia" w:ascii="宋体"/>
                <w:color w:val="000000"/>
                <w:sz w:val="24"/>
                <w:szCs w:val="24"/>
              </w:rPr>
            </w:pPr>
            <w:r>
              <w:rPr>
                <w:rFonts w:hint="eastAsia" w:ascii="宋体" w:hAnsi="宋体" w:cs="宋体"/>
                <w:color w:val="000000"/>
                <w:kern w:val="0"/>
                <w:sz w:val="22"/>
                <w:szCs w:val="22"/>
                <w:lang w:val="en-US" w:eastAsia="zh-CN" w:bidi="ar"/>
              </w:rPr>
              <w:t>6,918,037.11</w:t>
            </w:r>
          </w:p>
        </w:tc>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right"/>
              <w:textAlignment w:val="center"/>
              <w:rPr>
                <w:rFonts w:hint="eastAsia" w:ascii="宋体"/>
                <w:sz w:val="24"/>
                <w:szCs w:val="24"/>
              </w:rPr>
            </w:pPr>
            <w:r>
              <w:rPr>
                <w:rFonts w:hint="eastAsia" w:ascii="宋体" w:hAnsi="宋体" w:cs="宋体"/>
                <w:color w:val="000000"/>
                <w:kern w:val="0"/>
                <w:sz w:val="22"/>
                <w:szCs w:val="22"/>
                <w:lang w:val="en-US" w:eastAsia="zh-CN" w:bidi="ar"/>
              </w:rPr>
              <w:t>6,918,037.11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宋体"/>
                <w:sz w:val="24"/>
                <w:szCs w:val="24"/>
              </w:rPr>
            </w:pPr>
            <w:r>
              <w:rPr>
                <w:rFonts w:hint="eastAsia" w:ascii="宋体" w:hAnsi="宋体"/>
                <w:sz w:val="24"/>
                <w:szCs w:val="24"/>
              </w:rPr>
              <w:t>其中：基本建设类项目</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宋体"/>
                <w:sz w:val="24"/>
                <w:szCs w:val="24"/>
              </w:rPr>
            </w:pPr>
          </w:p>
        </w:tc>
        <w:tc>
          <w:tcPr>
            <w:tcW w:w="18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right"/>
              <w:textAlignment w:val="center"/>
              <w:rPr>
                <w:rFonts w:hint="eastAsia" w:ascii="宋体"/>
                <w:color w:val="000000"/>
                <w:sz w:val="24"/>
                <w:szCs w:val="24"/>
              </w:rPr>
            </w:pPr>
          </w:p>
        </w:tc>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right"/>
              <w:textAlignment w:val="cente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宋体"/>
                <w:sz w:val="24"/>
                <w:szCs w:val="24"/>
              </w:rPr>
            </w:pPr>
            <w:r>
              <w:rPr>
                <w:rFonts w:hint="eastAsia" w:ascii="宋体" w:hAnsi="宋体"/>
                <w:sz w:val="24"/>
                <w:szCs w:val="24"/>
              </w:rPr>
              <w:t>合计</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5,945,660.00</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right"/>
              <w:textAlignment w:val="center"/>
              <w:rPr>
                <w:rFonts w:hint="eastAsia" w:ascii="宋体" w:hAnsi="宋体"/>
                <w:color w:val="000000"/>
                <w:sz w:val="24"/>
                <w:szCs w:val="24"/>
              </w:rPr>
            </w:pPr>
            <w:r>
              <w:rPr>
                <w:rFonts w:hint="eastAsia" w:ascii="宋体" w:hAnsi="宋体" w:cs="宋体"/>
                <w:color w:val="000000"/>
                <w:kern w:val="0"/>
                <w:sz w:val="22"/>
                <w:szCs w:val="22"/>
                <w:lang w:val="en-US" w:eastAsia="zh-CN" w:bidi="ar"/>
              </w:rPr>
              <w:t>11,867,860.00</w:t>
            </w:r>
          </w:p>
        </w:tc>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right"/>
              <w:textAlignment w:val="center"/>
              <w:rPr>
                <w:rFonts w:hint="eastAsia" w:ascii="宋体"/>
                <w:sz w:val="24"/>
                <w:szCs w:val="24"/>
              </w:rPr>
            </w:pPr>
            <w:r>
              <w:rPr>
                <w:rFonts w:hint="eastAsia" w:ascii="宋体" w:hAnsi="宋体" w:cs="宋体"/>
                <w:color w:val="000000"/>
                <w:kern w:val="0"/>
                <w:sz w:val="22"/>
                <w:szCs w:val="22"/>
                <w:lang w:val="en-US" w:eastAsia="zh-CN" w:bidi="ar"/>
              </w:rPr>
              <w:t>11,867,860.00</w:t>
            </w:r>
          </w:p>
        </w:tc>
      </w:tr>
    </w:tbl>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（2）差异原因分析。</w:t>
      </w:r>
    </w:p>
    <w:p>
      <w:pPr>
        <w:spacing w:line="520" w:lineRule="exact"/>
        <w:ind w:firstLine="640"/>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预、决算差异较大的原因是基金预算资金未纳入年初预算，作为追补指标资金；还有部分一事一报项目资金。</w:t>
      </w:r>
    </w:p>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cs="Times New Roman"/>
          <w:kern w:val="2"/>
          <w:sz w:val="32"/>
          <w:szCs w:val="32"/>
          <w:lang w:val="en-US" w:eastAsia="zh-CN" w:bidi="ar-SA"/>
        </w:rPr>
        <w:t>4、</w:t>
      </w:r>
      <w:r>
        <w:rPr>
          <w:rFonts w:hint="eastAsia" w:ascii="仿宋_GB2312" w:hAnsi="仿宋_GB2312" w:eastAsia="宋体" w:cs="Times New Roman"/>
          <w:kern w:val="2"/>
          <w:sz w:val="32"/>
          <w:szCs w:val="32"/>
          <w:lang w:val="en-US" w:eastAsia="zh-CN" w:bidi="ar-SA"/>
        </w:rPr>
        <w:t>收入支出结构分析。</w:t>
      </w:r>
    </w:p>
    <w:p>
      <w:pPr>
        <w:spacing w:beforeLines="50" w:afterLines="50" w:line="520" w:lineRule="exact"/>
        <w:ind w:firstLine="641"/>
        <w:rPr>
          <w:rFonts w:hint="default"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（1）各项收入占总收入的比重，各项支出占总支出的比重。</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48"/>
        <w:gridCol w:w="2937"/>
        <w:gridCol w:w="2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28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项目(按支出性质</w:t>
            </w:r>
          </w:p>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和经济分类)</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收入决算数</w:t>
            </w:r>
          </w:p>
        </w:tc>
        <w:tc>
          <w:tcPr>
            <w:tcW w:w="2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支出决算数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8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一、基本支出</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4,949,822.89</w:t>
            </w:r>
          </w:p>
        </w:tc>
        <w:tc>
          <w:tcPr>
            <w:tcW w:w="2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4,949,822.89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8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人员经费</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4,699,694.91</w:t>
            </w:r>
          </w:p>
        </w:tc>
        <w:tc>
          <w:tcPr>
            <w:tcW w:w="2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4,699,694.91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28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日常公用经费</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250,127.98</w:t>
            </w:r>
          </w:p>
        </w:tc>
        <w:tc>
          <w:tcPr>
            <w:tcW w:w="2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250,127.98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8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二、项目支出</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6,918,037.11</w:t>
            </w:r>
          </w:p>
        </w:tc>
        <w:tc>
          <w:tcPr>
            <w:tcW w:w="2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6,918,037.11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8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其中：基本建设类项目</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p>
        </w:tc>
        <w:tc>
          <w:tcPr>
            <w:tcW w:w="2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8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合计</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11,867,860.00</w:t>
            </w:r>
          </w:p>
        </w:tc>
        <w:tc>
          <w:tcPr>
            <w:tcW w:w="2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11,867,860.00</w:t>
            </w:r>
          </w:p>
        </w:tc>
      </w:tr>
    </w:tbl>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分析数据：决算支出中基本支出占总支出的41.7%，项目支出占总支出的58.3%。其中人员经费占基本支出的94.9%，日常公用经费占基本支出的5.1%。</w:t>
      </w:r>
    </w:p>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（2）收入支出与上年度对比情况及原因分析。</w:t>
      </w:r>
    </w:p>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2021年，本部门年初预算收入595万元，</w:t>
      </w:r>
      <w:r>
        <w:rPr>
          <w:rFonts w:hint="eastAsia" w:ascii="仿宋_GB2312" w:hAnsi="仿宋_GB2312" w:eastAsia="宋体" w:cs="Times New Roman"/>
          <w:kern w:val="2"/>
          <w:sz w:val="32"/>
          <w:szCs w:val="32"/>
          <w:lang w:val="zh-CN" w:eastAsia="zh-CN" w:bidi="ar-SA"/>
        </w:rPr>
        <w:t>变化的主要原因是</w:t>
      </w:r>
      <w:r>
        <w:rPr>
          <w:rFonts w:hint="eastAsia" w:ascii="仿宋_GB2312" w:hAnsi="仿宋_GB2312" w:eastAsia="宋体" w:cs="Times New Roman"/>
          <w:kern w:val="2"/>
          <w:sz w:val="32"/>
          <w:szCs w:val="32"/>
          <w:lang w:val="en-US" w:eastAsia="zh-CN" w:bidi="ar-SA"/>
        </w:rPr>
        <w:t>：预算项目变动，基金预算资金作为追补指标资金。</w:t>
      </w:r>
    </w:p>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2021年收入实际完成1187万元，主要原因是：项目资金增加。</w:t>
      </w:r>
    </w:p>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2021年，本部门支出1187万元，</w:t>
      </w:r>
      <w:r>
        <w:rPr>
          <w:rFonts w:hint="eastAsia" w:ascii="仿宋_GB2312" w:hAnsi="仿宋_GB2312" w:eastAsia="宋体" w:cs="Times New Roman"/>
          <w:kern w:val="2"/>
          <w:sz w:val="32"/>
          <w:szCs w:val="32"/>
          <w:lang w:val="zh-CN" w:eastAsia="zh-CN" w:bidi="ar-SA"/>
        </w:rPr>
        <w:t>变化的主要原因</w:t>
      </w:r>
      <w:r>
        <w:rPr>
          <w:rFonts w:hint="eastAsia" w:ascii="仿宋_GB2312" w:hAnsi="仿宋_GB2312" w:eastAsia="宋体" w:cs="Times New Roman"/>
          <w:kern w:val="2"/>
          <w:sz w:val="32"/>
          <w:szCs w:val="32"/>
          <w:lang w:val="en-US" w:eastAsia="zh-CN" w:bidi="ar-SA"/>
        </w:rPr>
        <w:t>：资金正常变动。</w:t>
      </w:r>
    </w:p>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cs="Times New Roman"/>
          <w:kern w:val="2"/>
          <w:sz w:val="32"/>
          <w:szCs w:val="32"/>
          <w:lang w:val="en-US" w:eastAsia="zh-CN" w:bidi="ar-SA"/>
        </w:rPr>
        <w:t>5、</w:t>
      </w:r>
      <w:r>
        <w:rPr>
          <w:rFonts w:hint="eastAsia" w:ascii="仿宋_GB2312" w:hAnsi="仿宋_GB2312" w:eastAsia="宋体" w:cs="Times New Roman"/>
          <w:kern w:val="2"/>
          <w:sz w:val="32"/>
          <w:szCs w:val="32"/>
          <w:lang w:val="en-US" w:eastAsia="zh-CN" w:bidi="ar-SA"/>
        </w:rPr>
        <w:t>支出按经济分类科目分析。</w:t>
      </w:r>
    </w:p>
    <w:p>
      <w:pPr>
        <w:spacing w:beforeLines="50" w:afterLines="50" w:line="520" w:lineRule="exact"/>
        <w:ind w:firstLine="641"/>
        <w:rPr>
          <w:rFonts w:hint="default" w:ascii="仿宋_GB2312" w:hAnsi="仿宋_GB2312" w:eastAsia="宋体" w:cs="Times New Roman"/>
          <w:kern w:val="2"/>
          <w:sz w:val="32"/>
          <w:szCs w:val="32"/>
          <w:lang w:val="zh-CN" w:eastAsia="zh-CN" w:bidi="ar-SA"/>
        </w:rPr>
      </w:pPr>
      <w:r>
        <w:rPr>
          <w:rFonts w:hint="eastAsia" w:ascii="仿宋_GB2312" w:hAnsi="仿宋_GB2312" w:eastAsia="宋体" w:cs="Times New Roman"/>
          <w:kern w:val="2"/>
          <w:sz w:val="32"/>
          <w:szCs w:val="32"/>
          <w:lang w:val="en-US" w:eastAsia="zh-CN" w:bidi="ar-SA"/>
        </w:rPr>
        <w:t>（1）</w:t>
      </w:r>
      <w:r>
        <w:rPr>
          <w:rFonts w:hint="default" w:ascii="仿宋_GB2312" w:hAnsi="仿宋_GB2312" w:eastAsia="宋体" w:cs="Times New Roman"/>
          <w:kern w:val="2"/>
          <w:sz w:val="32"/>
          <w:szCs w:val="32"/>
          <w:lang w:val="en-US" w:eastAsia="zh-CN" w:bidi="ar-SA"/>
        </w:rPr>
        <w:t>“</w:t>
      </w:r>
      <w:r>
        <w:rPr>
          <w:rFonts w:hint="eastAsia" w:ascii="仿宋_GB2312" w:hAnsi="仿宋_GB2312" w:eastAsia="宋体" w:cs="Times New Roman"/>
          <w:kern w:val="2"/>
          <w:sz w:val="32"/>
          <w:szCs w:val="32"/>
          <w:lang w:val="en-US" w:eastAsia="zh-CN" w:bidi="ar-SA"/>
        </w:rPr>
        <w:t>三公</w:t>
      </w:r>
      <w:r>
        <w:rPr>
          <w:rFonts w:hint="default" w:ascii="仿宋_GB2312" w:hAnsi="仿宋_GB2312" w:eastAsia="宋体" w:cs="Times New Roman"/>
          <w:kern w:val="2"/>
          <w:sz w:val="32"/>
          <w:szCs w:val="32"/>
          <w:lang w:val="en-US" w:eastAsia="zh-CN" w:bidi="ar-SA"/>
        </w:rPr>
        <w:t>”</w:t>
      </w:r>
      <w:r>
        <w:rPr>
          <w:rFonts w:hint="eastAsia" w:ascii="仿宋_GB2312" w:hAnsi="仿宋_GB2312" w:eastAsia="宋体" w:cs="Times New Roman"/>
          <w:kern w:val="2"/>
          <w:sz w:val="32"/>
          <w:szCs w:val="32"/>
          <w:lang w:val="en-US" w:eastAsia="zh-CN" w:bidi="ar-SA"/>
        </w:rPr>
        <w:t>经费支出情况：2021年，</w:t>
      </w:r>
      <w:r>
        <w:rPr>
          <w:rFonts w:hint="default" w:ascii="仿宋_GB2312" w:hAnsi="仿宋_GB2312" w:eastAsia="宋体" w:cs="Times New Roman"/>
          <w:kern w:val="2"/>
          <w:sz w:val="32"/>
          <w:szCs w:val="32"/>
          <w:lang w:val="en-US" w:eastAsia="zh-CN" w:bidi="ar-SA"/>
        </w:rPr>
        <w:t>“</w:t>
      </w:r>
      <w:r>
        <w:rPr>
          <w:rFonts w:hint="eastAsia" w:ascii="仿宋_GB2312" w:hAnsi="仿宋_GB2312" w:eastAsia="宋体" w:cs="Times New Roman"/>
          <w:kern w:val="2"/>
          <w:sz w:val="32"/>
          <w:szCs w:val="32"/>
          <w:lang w:val="en-US" w:eastAsia="zh-CN" w:bidi="ar-SA"/>
        </w:rPr>
        <w:t>三公</w:t>
      </w:r>
      <w:r>
        <w:rPr>
          <w:rFonts w:hint="default" w:ascii="仿宋_GB2312" w:hAnsi="仿宋_GB2312" w:eastAsia="宋体" w:cs="Times New Roman"/>
          <w:kern w:val="2"/>
          <w:sz w:val="32"/>
          <w:szCs w:val="32"/>
          <w:lang w:val="en-US" w:eastAsia="zh-CN" w:bidi="ar-SA"/>
        </w:rPr>
        <w:t>”</w:t>
      </w:r>
      <w:r>
        <w:rPr>
          <w:rFonts w:hint="eastAsia" w:ascii="仿宋_GB2312" w:hAnsi="仿宋_GB2312" w:eastAsia="宋体" w:cs="Times New Roman"/>
          <w:kern w:val="2"/>
          <w:sz w:val="32"/>
          <w:szCs w:val="32"/>
          <w:lang w:val="en-US" w:eastAsia="zh-CN" w:bidi="ar-SA"/>
        </w:rPr>
        <w:t>经费完成161965元。增减变化的主要原因是：正常支出</w:t>
      </w:r>
      <w:r>
        <w:rPr>
          <w:rFonts w:hint="eastAsia" w:ascii="仿宋_GB2312" w:hAnsi="仿宋_GB2312" w:eastAsia="宋体" w:cs="Times New Roman"/>
          <w:kern w:val="2"/>
          <w:sz w:val="32"/>
          <w:szCs w:val="32"/>
          <w:lang w:val="zh-CN" w:eastAsia="zh-CN" w:bidi="ar-SA"/>
        </w:rPr>
        <w:t>。其中：因公出国（境）费</w:t>
      </w:r>
      <w:r>
        <w:rPr>
          <w:rFonts w:hint="eastAsia" w:ascii="仿宋_GB2312" w:hAnsi="仿宋_GB2312" w:eastAsia="宋体" w:cs="Times New Roman"/>
          <w:kern w:val="2"/>
          <w:sz w:val="32"/>
          <w:szCs w:val="32"/>
          <w:lang w:val="en-US" w:eastAsia="zh-CN" w:bidi="ar-SA"/>
        </w:rPr>
        <w:t>完成0元，</w:t>
      </w:r>
      <w:r>
        <w:rPr>
          <w:rFonts w:hint="eastAsia" w:ascii="仿宋_GB2312" w:hAnsi="仿宋_GB2312" w:eastAsia="宋体" w:cs="Times New Roman"/>
          <w:kern w:val="2"/>
          <w:sz w:val="32"/>
          <w:szCs w:val="32"/>
          <w:lang w:val="zh-CN" w:eastAsia="zh-CN" w:bidi="ar-SA"/>
        </w:rPr>
        <w:t>公务接待费</w:t>
      </w:r>
      <w:r>
        <w:rPr>
          <w:rFonts w:hint="eastAsia" w:ascii="仿宋_GB2312" w:hAnsi="仿宋_GB2312" w:eastAsia="宋体" w:cs="Times New Roman"/>
          <w:kern w:val="2"/>
          <w:sz w:val="32"/>
          <w:szCs w:val="32"/>
          <w:lang w:val="en-US" w:eastAsia="zh-CN" w:bidi="ar-SA"/>
        </w:rPr>
        <w:t>完成3165元，</w:t>
      </w:r>
      <w:r>
        <w:rPr>
          <w:rFonts w:hint="eastAsia" w:ascii="仿宋_GB2312" w:hAnsi="仿宋_GB2312" w:eastAsia="宋体" w:cs="Times New Roman"/>
          <w:kern w:val="2"/>
          <w:sz w:val="32"/>
          <w:szCs w:val="32"/>
          <w:lang w:val="zh-CN" w:eastAsia="zh-CN" w:bidi="ar-SA"/>
        </w:rPr>
        <w:t>公务用车购置及运行维护费</w:t>
      </w:r>
      <w:r>
        <w:rPr>
          <w:rFonts w:hint="eastAsia" w:ascii="仿宋_GB2312" w:hAnsi="仿宋_GB2312" w:eastAsia="宋体" w:cs="Times New Roman"/>
          <w:kern w:val="2"/>
          <w:sz w:val="32"/>
          <w:szCs w:val="32"/>
          <w:lang w:val="en-US" w:eastAsia="zh-CN" w:bidi="ar-SA"/>
        </w:rPr>
        <w:t>完成158800元，增减变化的主要原因是：正常支出</w:t>
      </w:r>
      <w:r>
        <w:rPr>
          <w:rFonts w:hint="eastAsia" w:ascii="仿宋_GB2312" w:hAnsi="仿宋_GB2312" w:eastAsia="宋体" w:cs="Times New Roman"/>
          <w:kern w:val="2"/>
          <w:sz w:val="32"/>
          <w:szCs w:val="32"/>
          <w:lang w:val="zh-CN" w:eastAsia="zh-CN" w:bidi="ar-SA"/>
        </w:rPr>
        <w:t>。</w:t>
      </w:r>
    </w:p>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（2）会议费支出情况：2021年会议费完成0元，增减变化的主要原因是：压缩商品服务支出节约开支</w:t>
      </w:r>
      <w:r>
        <w:rPr>
          <w:rFonts w:hint="eastAsia" w:ascii="仿宋_GB2312" w:hAnsi="仿宋_GB2312" w:eastAsia="宋体" w:cs="Times New Roman"/>
          <w:kern w:val="2"/>
          <w:sz w:val="32"/>
          <w:szCs w:val="32"/>
          <w:lang w:val="zh-CN" w:eastAsia="zh-CN" w:bidi="ar-SA"/>
        </w:rPr>
        <w:t>。</w:t>
      </w:r>
    </w:p>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（3）培训费支出情况：2021年培训费完成</w:t>
      </w:r>
      <w:r>
        <w:rPr>
          <w:rFonts w:hint="eastAsia" w:ascii="仿宋_GB2312" w:hAnsi="仿宋_GB2312" w:cs="Times New Roman"/>
          <w:kern w:val="2"/>
          <w:sz w:val="32"/>
          <w:szCs w:val="32"/>
          <w:lang w:val="en-US" w:eastAsia="zh-CN" w:bidi="ar-SA"/>
        </w:rPr>
        <w:t>30</w:t>
      </w:r>
      <w:r>
        <w:rPr>
          <w:rFonts w:hint="eastAsia" w:ascii="仿宋_GB2312" w:hAnsi="仿宋_GB2312" w:eastAsia="宋体" w:cs="Times New Roman"/>
          <w:kern w:val="2"/>
          <w:sz w:val="32"/>
          <w:szCs w:val="32"/>
          <w:lang w:val="en-US" w:eastAsia="zh-CN" w:bidi="ar-SA"/>
        </w:rPr>
        <w:t>950元，增减变化的主要原因是：压缩商品服务支出节约开支</w:t>
      </w:r>
      <w:r>
        <w:rPr>
          <w:rFonts w:hint="eastAsia" w:ascii="仿宋_GB2312" w:hAnsi="仿宋_GB2312" w:eastAsia="宋体" w:cs="Times New Roman"/>
          <w:kern w:val="2"/>
          <w:sz w:val="32"/>
          <w:szCs w:val="32"/>
          <w:lang w:val="zh-CN" w:eastAsia="zh-CN" w:bidi="ar-SA"/>
        </w:rPr>
        <w:t>。</w:t>
      </w:r>
    </w:p>
    <w:p>
      <w:pPr>
        <w:spacing w:beforeLines="50" w:afterLines="50" w:line="520" w:lineRule="exact"/>
        <w:ind w:firstLine="641"/>
        <w:rPr>
          <w:rFonts w:hint="default"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（4）其他对单位影响较大的支出情况。预算项目变动，基金预算资金未纳入预算资金，作为追补指标资金。</w:t>
      </w:r>
    </w:p>
    <w:p>
      <w:pPr>
        <w:spacing w:beforeLines="50" w:afterLines="50" w:line="520" w:lineRule="exact"/>
        <w:ind w:firstLine="641"/>
        <w:rPr>
          <w:rFonts w:hint="default"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（5）重点经济分类支出中未发现存在的问题。</w:t>
      </w:r>
    </w:p>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cs="Times New Roman"/>
          <w:kern w:val="2"/>
          <w:sz w:val="32"/>
          <w:szCs w:val="32"/>
          <w:lang w:val="en-US" w:eastAsia="zh-CN" w:bidi="ar-SA"/>
        </w:rPr>
        <w:t>6、</w:t>
      </w:r>
      <w:r>
        <w:rPr>
          <w:rFonts w:hint="eastAsia" w:ascii="仿宋_GB2312" w:hAnsi="仿宋_GB2312" w:eastAsia="宋体" w:cs="Times New Roman"/>
          <w:kern w:val="2"/>
          <w:sz w:val="32"/>
          <w:szCs w:val="32"/>
          <w:lang w:val="en-US" w:eastAsia="zh-CN" w:bidi="ar-SA"/>
        </w:rPr>
        <w:t>财政拨款收入、支出分析。</w:t>
      </w:r>
    </w:p>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根据报表项目分析财政拨款收入、支出情况，支出要按照基本支出和项目支出分析具体构成及特点。</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08"/>
        <w:gridCol w:w="2777"/>
        <w:gridCol w:w="2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3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0" w:firstLineChars="200"/>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项目(按支出性质和经济分类)</w:t>
            </w:r>
          </w:p>
        </w:tc>
        <w:tc>
          <w:tcPr>
            <w:tcW w:w="2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年初预算数</w:t>
            </w:r>
          </w:p>
        </w:tc>
        <w:tc>
          <w:tcPr>
            <w:tcW w:w="25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3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一、基本支出</w:t>
            </w:r>
          </w:p>
        </w:tc>
        <w:tc>
          <w:tcPr>
            <w:tcW w:w="2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2,312,660.00</w:t>
            </w:r>
          </w:p>
        </w:tc>
        <w:tc>
          <w:tcPr>
            <w:tcW w:w="25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4,661,822.89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3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人员经费</w:t>
            </w:r>
          </w:p>
        </w:tc>
        <w:tc>
          <w:tcPr>
            <w:tcW w:w="2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2,192,659.00</w:t>
            </w:r>
          </w:p>
        </w:tc>
        <w:tc>
          <w:tcPr>
            <w:tcW w:w="25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4,411,694.91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3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日常公用经费</w:t>
            </w:r>
          </w:p>
        </w:tc>
        <w:tc>
          <w:tcPr>
            <w:tcW w:w="2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120,001.00</w:t>
            </w:r>
          </w:p>
        </w:tc>
        <w:tc>
          <w:tcPr>
            <w:tcW w:w="25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250,127.98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3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二、项目支出</w:t>
            </w:r>
          </w:p>
        </w:tc>
        <w:tc>
          <w:tcPr>
            <w:tcW w:w="2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3,633,000.00</w:t>
            </w:r>
          </w:p>
        </w:tc>
        <w:tc>
          <w:tcPr>
            <w:tcW w:w="25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6,745,837.11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3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其中：基本建设类项目</w:t>
            </w:r>
          </w:p>
        </w:tc>
        <w:tc>
          <w:tcPr>
            <w:tcW w:w="2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p>
        </w:tc>
        <w:tc>
          <w:tcPr>
            <w:tcW w:w="25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3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合  计</w:t>
            </w:r>
          </w:p>
        </w:tc>
        <w:tc>
          <w:tcPr>
            <w:tcW w:w="2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5,945,660.00</w:t>
            </w:r>
          </w:p>
        </w:tc>
        <w:tc>
          <w:tcPr>
            <w:tcW w:w="25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11,407,660.00</w:t>
            </w:r>
          </w:p>
        </w:tc>
      </w:tr>
    </w:tbl>
    <w:p>
      <w:pPr>
        <w:spacing w:beforeLines="50" w:afterLines="50" w:line="520" w:lineRule="exact"/>
        <w:ind w:left="319" w:leftChars="152" w:firstLine="656" w:firstLineChars="205"/>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分析数据：财政拨款收入支出决算数据中基本支出占总支出的40.87，项目支出占总支出的59.13%。其中人员经费占基本支出的94.63%，日常公用经费占基本支出的5.37%。</w:t>
      </w:r>
    </w:p>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cs="Times New Roman"/>
          <w:kern w:val="2"/>
          <w:sz w:val="32"/>
          <w:szCs w:val="32"/>
          <w:lang w:val="en-US" w:eastAsia="zh-CN" w:bidi="ar-SA"/>
        </w:rPr>
        <w:t>7、</w:t>
      </w:r>
      <w:r>
        <w:rPr>
          <w:rFonts w:hint="eastAsia" w:ascii="仿宋_GB2312" w:hAnsi="仿宋_GB2312" w:eastAsia="宋体" w:cs="Times New Roman"/>
          <w:kern w:val="2"/>
          <w:sz w:val="32"/>
          <w:szCs w:val="32"/>
          <w:lang w:val="en-US" w:eastAsia="zh-CN" w:bidi="ar-SA"/>
        </w:rPr>
        <w:t>非财政拨款收入分析。</w:t>
      </w:r>
    </w:p>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上级补助收入完成28.8万元，其他收入完成17.2万元。</w:t>
      </w:r>
    </w:p>
    <w:p>
      <w:pPr>
        <w:spacing w:beforeLines="50" w:afterLines="50" w:line="520" w:lineRule="exact"/>
        <w:ind w:firstLine="641"/>
        <w:rPr>
          <w:rFonts w:hint="default" w:ascii="仿宋_GB2312" w:hAnsi="仿宋_GB2312" w:eastAsia="宋体" w:cs="Times New Roman"/>
          <w:kern w:val="2"/>
          <w:sz w:val="32"/>
          <w:szCs w:val="32"/>
          <w:lang w:val="en-US" w:eastAsia="zh-CN" w:bidi="ar-SA"/>
        </w:rPr>
      </w:pPr>
      <w:r>
        <w:rPr>
          <w:rFonts w:hint="eastAsia" w:ascii="仿宋_GB2312" w:hAnsi="仿宋_GB2312" w:cs="Times New Roman"/>
          <w:kern w:val="2"/>
          <w:sz w:val="32"/>
          <w:szCs w:val="32"/>
          <w:lang w:val="en-US" w:eastAsia="zh-CN" w:bidi="ar-SA"/>
        </w:rPr>
        <w:t>8、</w:t>
      </w:r>
      <w:r>
        <w:rPr>
          <w:rFonts w:hint="eastAsia" w:ascii="仿宋_GB2312" w:hAnsi="仿宋_GB2312" w:eastAsia="宋体" w:cs="Times New Roman"/>
          <w:kern w:val="2"/>
          <w:sz w:val="32"/>
          <w:szCs w:val="32"/>
          <w:lang w:val="en-US" w:eastAsia="zh-CN" w:bidi="ar-SA"/>
        </w:rPr>
        <w:t>年末结转和结余情况。</w:t>
      </w:r>
    </w:p>
    <w:p>
      <w:pPr>
        <w:spacing w:line="520" w:lineRule="exact"/>
        <w:ind w:firstLine="640"/>
        <w:rPr>
          <w:rFonts w:hint="default"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2021年，本单位年末无结转和结余资金</w:t>
      </w:r>
      <w:r>
        <w:rPr>
          <w:rFonts w:hint="eastAsia" w:ascii="仿宋_GB2312" w:hAnsi="仿宋_GB2312" w:eastAsia="宋体" w:cs="Times New Roman"/>
          <w:kern w:val="2"/>
          <w:sz w:val="32"/>
          <w:szCs w:val="32"/>
          <w:lang w:val="zh-CN" w:eastAsia="zh-CN" w:bidi="ar-SA"/>
        </w:rPr>
        <w:t>。</w:t>
      </w:r>
    </w:p>
    <w:p>
      <w:pPr>
        <w:pStyle w:val="5"/>
        <w:widowControl/>
        <w:numPr>
          <w:ilvl w:val="0"/>
          <w:numId w:val="2"/>
        </w:numPr>
        <w:spacing w:line="600" w:lineRule="exact"/>
        <w:ind w:left="640" w:firstLine="0" w:firstLineChars="0"/>
        <w:rPr>
          <w:rFonts w:ascii="Times New Roman" w:hAnsi="Times New Roman" w:eastAsia="黑体"/>
          <w:sz w:val="32"/>
          <w:szCs w:val="32"/>
        </w:rPr>
      </w:pPr>
      <w:r>
        <w:rPr>
          <w:rFonts w:ascii="Times New Roman" w:hAnsi="Times New Roman" w:eastAsia="黑体"/>
          <w:sz w:val="32"/>
          <w:szCs w:val="32"/>
        </w:rPr>
        <w:t>项目支出情况</w:t>
      </w:r>
    </w:p>
    <w:p>
      <w:pPr>
        <w:widowControl/>
        <w:numPr>
          <w:ilvl w:val="0"/>
          <w:numId w:val="3"/>
        </w:numPr>
        <w:topLinePunct/>
        <w:spacing w:before="150" w:after="150"/>
        <w:ind w:firstLine="560"/>
        <w:jc w:val="left"/>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根据沅江市财政局预算批复，2021年度安排公园养护费用363.3万元，全年实际到位指标691.8万元，实际支出691.8万元，使用资金主要用于支付七大公园及S204线等绿化养护维护费用。</w:t>
      </w:r>
    </w:p>
    <w:p>
      <w:pPr>
        <w:widowControl/>
        <w:numPr>
          <w:ilvl w:val="0"/>
          <w:numId w:val="3"/>
        </w:numPr>
        <w:topLinePunct/>
        <w:spacing w:before="150" w:after="150"/>
        <w:ind w:firstLine="560"/>
        <w:jc w:val="left"/>
        <w:rPr>
          <w:rFonts w:hint="eastAsia" w:ascii="仿宋_GB2312" w:hAnsi="仿宋_GB2312" w:eastAsia="宋体" w:cs="Times New Roman"/>
          <w:kern w:val="2"/>
          <w:sz w:val="32"/>
          <w:szCs w:val="32"/>
          <w:lang w:val="en-US" w:eastAsia="zh-CN" w:bidi="ar-SA"/>
        </w:rPr>
      </w:pPr>
      <w:r>
        <w:rPr>
          <w:rFonts w:hint="eastAsia" w:ascii="仿宋_GB2312" w:hAnsi="仿宋_GB2312" w:cs="Times New Roman"/>
          <w:kern w:val="2"/>
          <w:sz w:val="32"/>
          <w:szCs w:val="32"/>
          <w:lang w:val="en-US" w:eastAsia="zh-CN" w:bidi="ar-SA"/>
        </w:rPr>
        <w:t>专项资金实行专款专用。每月根据年初制定的《沅江市园林绿化养护管理标准及考核细则-2021》对照绿地养护标的实行定期与不定期的巡检、考核。</w:t>
      </w:r>
    </w:p>
    <w:p>
      <w:pPr>
        <w:widowControl/>
        <w:spacing w:line="600" w:lineRule="exact"/>
        <w:ind w:firstLine="645"/>
        <w:jc w:val="left"/>
        <w:rPr>
          <w:rFonts w:eastAsia="黑体"/>
          <w:sz w:val="32"/>
          <w:szCs w:val="32"/>
        </w:rPr>
      </w:pPr>
      <w:r>
        <w:rPr>
          <w:rFonts w:hint="eastAsia" w:eastAsia="黑体"/>
          <w:sz w:val="32"/>
          <w:szCs w:val="32"/>
          <w:lang w:eastAsia="zh-CN"/>
        </w:rPr>
        <w:t>三</w:t>
      </w:r>
      <w:r>
        <w:rPr>
          <w:rFonts w:eastAsia="黑体"/>
          <w:sz w:val="32"/>
          <w:szCs w:val="32"/>
        </w:rPr>
        <w:t>、部门整体支出绩效情况</w:t>
      </w:r>
    </w:p>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（一）投入管理指标</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2021年度整体支出情况较好，党建工作认真扎实，严肃组织建设、严把思想政治学习关、认真做好综治维稳及信访工作。绿化维护成效显著，主要体现在工程建设、设施维修、新接管绿地方面。绿化养护管理有序。</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2021年度年初预算一般公共预算支出4773684.41元，政府性基金预算支出1673536.46元，2021年度预算支出合计6447220.87元。按照财政管理工作绩效考核相关办法的目标合理性、绩效指标明确性等有关要求设置完善城区园林绿化养护、维护管理机制，改善城区绿化管理状况，提高市民生活质量目标，2021年度决算中人员经费、公用经费等基本支出4949822.89元，项目支出6918037.11元，2021年度决算支出合计11867860元。分别为：工资福利支出4492769.91元、商品和服务支出4492769.91元、对个人和家庭的补助支出206925元、资本性支出167600元。</w:t>
      </w:r>
    </w:p>
    <w:p>
      <w:pPr>
        <w:spacing w:beforeLines="50" w:afterLines="50" w:line="520" w:lineRule="exact"/>
        <w:ind w:firstLine="641"/>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预算配置实有在职人员36人无超编现象。部门人员因公出国（境）经费、公务车购置及运行费、公务招待费重点支出等“三公经费”重点支出3165元均没有超出年初预算。</w:t>
      </w:r>
    </w:p>
    <w:p>
      <w:pPr>
        <w:numPr>
          <w:ilvl w:val="0"/>
          <w:numId w:val="0"/>
        </w:numPr>
        <w:spacing w:beforeLines="50" w:afterLines="50" w:line="520" w:lineRule="exact"/>
        <w:ind w:leftChars="0" w:firstLine="640" w:firstLineChars="200"/>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（二）绩效评价工作情况</w:t>
      </w:r>
    </w:p>
    <w:p>
      <w:pPr>
        <w:numPr>
          <w:ilvl w:val="0"/>
          <w:numId w:val="0"/>
        </w:numPr>
        <w:spacing w:beforeLines="50" w:afterLines="50" w:line="520" w:lineRule="exact"/>
        <w:ind w:firstLine="640" w:firstLineChars="200"/>
        <w:rPr>
          <w:rFonts w:hint="eastAsia" w:ascii="仿宋_GB2312" w:hAnsi="仿宋_GB2312" w:eastAsia="宋体" w:cs="Times New Roman"/>
          <w:kern w:val="2"/>
          <w:sz w:val="32"/>
          <w:szCs w:val="32"/>
          <w:lang w:val="en-US" w:eastAsia="zh-CN" w:bidi="ar-SA"/>
        </w:rPr>
      </w:pPr>
      <w:r>
        <w:rPr>
          <w:rFonts w:hint="eastAsia" w:ascii="仿宋_GB2312" w:hAnsi="仿宋_GB2312" w:eastAsia="宋体" w:cs="Times New Roman"/>
          <w:kern w:val="2"/>
          <w:sz w:val="32"/>
          <w:szCs w:val="32"/>
          <w:lang w:val="en-US" w:eastAsia="zh-CN" w:bidi="ar-SA"/>
        </w:rPr>
        <w:t>绩效评价工作由主任王晓玲任组长，副主任刘卫洪任副组长，刘亚强、曹觉灵为成员。由财务室收集相关资料，检查财务记录。</w:t>
      </w:r>
    </w:p>
    <w:p>
      <w:pPr>
        <w:pStyle w:val="5"/>
        <w:widowControl/>
        <w:spacing w:line="60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eastAsia="zh-CN"/>
        </w:rPr>
        <w:t>四</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widowControl/>
        <w:spacing w:line="600" w:lineRule="exact"/>
        <w:ind w:firstLine="640" w:firstLineChars="200"/>
        <w:jc w:val="left"/>
        <w:rPr>
          <w:rFonts w:eastAsia="仿宋_GB2312"/>
          <w:sz w:val="32"/>
          <w:szCs w:val="32"/>
        </w:rPr>
      </w:pPr>
      <w:r>
        <w:rPr>
          <w:rFonts w:hint="eastAsia" w:ascii="仿宋_GB2312" w:hAnsi="仿宋_GB2312" w:eastAsia="宋体" w:cs="Times New Roman"/>
          <w:kern w:val="2"/>
          <w:sz w:val="32"/>
          <w:szCs w:val="32"/>
          <w:lang w:val="en-US" w:eastAsia="zh-CN" w:bidi="ar-SA"/>
        </w:rPr>
        <w:t>预算编制前根据年度内单位可预见的工作任务，确定了单位年度预算目标，细化了预算指标，但在实际支付过程中，个别时候未严格按预算指标执行。</w:t>
      </w:r>
    </w:p>
    <w:p>
      <w:pPr>
        <w:widowControl/>
        <w:numPr>
          <w:ilvl w:val="0"/>
          <w:numId w:val="4"/>
        </w:numPr>
        <w:spacing w:line="600" w:lineRule="exact"/>
        <w:ind w:firstLine="640" w:firstLineChars="200"/>
        <w:jc w:val="left"/>
        <w:rPr>
          <w:rFonts w:eastAsia="黑体"/>
          <w:sz w:val="32"/>
          <w:szCs w:val="32"/>
        </w:rPr>
      </w:pPr>
      <w:r>
        <w:rPr>
          <w:rFonts w:eastAsia="黑体"/>
          <w:sz w:val="32"/>
          <w:szCs w:val="32"/>
        </w:rPr>
        <w:t>下一步改进措施</w:t>
      </w:r>
      <w:r>
        <w:rPr>
          <w:rFonts w:hint="eastAsia" w:eastAsia="黑体"/>
          <w:sz w:val="32"/>
          <w:szCs w:val="32"/>
          <w:lang w:eastAsia="zh-CN"/>
        </w:rPr>
        <w:t>及有关建议</w:t>
      </w:r>
    </w:p>
    <w:p>
      <w:pPr>
        <w:numPr>
          <w:ilvl w:val="0"/>
          <w:numId w:val="0"/>
        </w:numPr>
        <w:spacing w:beforeLines="50" w:afterLines="50" w:line="520" w:lineRule="exact"/>
        <w:ind w:firstLine="640"/>
        <w:rPr>
          <w:rFonts w:eastAsia="仿宋_GB2312"/>
          <w:sz w:val="32"/>
          <w:szCs w:val="32"/>
        </w:rPr>
      </w:pPr>
      <w:r>
        <w:rPr>
          <w:rFonts w:hint="eastAsia" w:ascii="仿宋_GB2312" w:hAnsi="仿宋_GB2312" w:eastAsia="宋体" w:cs="Times New Roman"/>
          <w:kern w:val="2"/>
          <w:sz w:val="32"/>
          <w:szCs w:val="32"/>
          <w:lang w:val="en-US" w:eastAsia="zh-CN" w:bidi="ar-SA"/>
        </w:rPr>
        <w:t>加强学习，提高思想认识。组织单位财务人员认真学习《预算法》、《政府会计制度》等相关法规制度，提高单位领导对全面预算管理的重视程度，加强财务人员的预算意识。规范财务运行，加强预算支出管理。严格遵循“先有预算，后有支出”的原则，建立健全并认真执行各项资金使用管理制度，建立内部控制机制，资金使用严格履行审批程序，确保资金支出合法、真实。严格落实会计核算、报销审批制度，加强对资金使用环节的监督。</w:t>
      </w:r>
    </w:p>
    <w:p>
      <w:pPr>
        <w:widowControl/>
        <w:spacing w:line="600" w:lineRule="exact"/>
        <w:ind w:firstLine="640" w:firstLineChars="200"/>
        <w:jc w:val="left"/>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547C1"/>
    <w:multiLevelType w:val="singleLevel"/>
    <w:tmpl w:val="C6A547C1"/>
    <w:lvl w:ilvl="0" w:tentative="0">
      <w:start w:val="2"/>
      <w:numFmt w:val="chineseCounting"/>
      <w:suff w:val="nothing"/>
      <w:lvlText w:val="（%1）"/>
      <w:lvlJc w:val="left"/>
      <w:rPr>
        <w:rFonts w:hint="eastAsia"/>
      </w:rPr>
    </w:lvl>
  </w:abstractNum>
  <w:abstractNum w:abstractNumId="1">
    <w:nsid w:val="E38C0B83"/>
    <w:multiLevelType w:val="singleLevel"/>
    <w:tmpl w:val="E38C0B83"/>
    <w:lvl w:ilvl="0" w:tentative="0">
      <w:start w:val="1"/>
      <w:numFmt w:val="chineseCounting"/>
      <w:suff w:val="nothing"/>
      <w:lvlText w:val="%1、"/>
      <w:lvlJc w:val="left"/>
      <w:rPr>
        <w:rFonts w:hint="eastAsia"/>
      </w:rPr>
    </w:lvl>
  </w:abstractNum>
  <w:abstractNum w:abstractNumId="2">
    <w:nsid w:val="58A82157"/>
    <w:multiLevelType w:val="singleLevel"/>
    <w:tmpl w:val="58A82157"/>
    <w:lvl w:ilvl="0" w:tentative="0">
      <w:start w:val="5"/>
      <w:numFmt w:val="chineseCounting"/>
      <w:suff w:val="nothing"/>
      <w:lvlText w:val="%1、"/>
      <w:lvlJc w:val="left"/>
      <w:rPr>
        <w:rFonts w:hint="eastAsia"/>
      </w:rPr>
    </w:lvl>
  </w:abstractNum>
  <w:abstractNum w:abstractNumId="3">
    <w:nsid w:val="7DE16E3B"/>
    <w:multiLevelType w:val="singleLevel"/>
    <w:tmpl w:val="7DE16E3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OWFmZDM0MWU5ZTdmMjQzZTRkOWU4ZTBiMzFjMjIifQ=="/>
  </w:docVars>
  <w:rsids>
    <w:rsidRoot w:val="1B86471D"/>
    <w:rsid w:val="03F11C32"/>
    <w:rsid w:val="0CA91B95"/>
    <w:rsid w:val="1B86471D"/>
    <w:rsid w:val="28DF764A"/>
    <w:rsid w:val="2D877AE0"/>
    <w:rsid w:val="79F1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2022-06-21T08:51:00Z</dcterms:created>
  <dc:creator>WPS_1341646369</dc:creator>
  <cp:lastModifiedBy>Administrator</cp:lastModifiedBy>
  <dcterms:modified xsi:type="dcterms:W3CDTF">2022-08-09T01:51:55Z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42497C8F068F472FBCAF90D1895BD13A</vt:lpwstr>
  </property>
</Properties>
</file>