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hint="default" w:ascii="Times New Roman" w:hAnsi="Times New Roman" w:eastAsia="华文中宋"/>
          <w:sz w:val="36"/>
          <w:szCs w:val="36"/>
        </w:rPr>
      </w:pPr>
      <w:bookmarkStart w:id="1" w:name="_GoBack"/>
      <w:bookmarkEnd w:id="1"/>
      <w:r>
        <w:rPr>
          <w:rFonts w:hint="eastAsia" w:ascii="华文中宋" w:eastAsia="华文中宋" w:cs="华文中宋"/>
          <w:sz w:val="36"/>
          <w:szCs w:val="36"/>
        </w:rPr>
        <w:t>2021年度部门决算分析报告</w:t>
      </w:r>
    </w:p>
    <w:p>
      <w:pPr>
        <w:autoSpaceDE w:val="0"/>
        <w:autoSpaceDN w:val="0"/>
        <w:adjustRightInd w:val="0"/>
        <w:jc w:val="center"/>
        <w:rPr>
          <w:rFonts w:hint="default" w:ascii="Times New Roman" w:hAnsi="Times New Roman" w:eastAsia="华文中宋"/>
          <w:sz w:val="44"/>
          <w:szCs w:val="44"/>
        </w:rPr>
      </w:pPr>
      <w:r>
        <w:rPr>
          <w:rFonts w:hint="eastAsia" w:ascii="华文中宋" w:hAnsi="Times New Roman" w:eastAsia="华文中宋" w:cs="华文中宋"/>
          <w:sz w:val="44"/>
          <w:szCs w:val="44"/>
        </w:rPr>
        <w:t>（</w:t>
      </w:r>
      <w:r>
        <w:rPr>
          <w:rFonts w:hint="eastAsia" w:ascii="方正小标宋简体" w:hAnsi="Times New Roman" w:eastAsia="方正小标宋简体" w:cs="方正小标宋简体"/>
          <w:sz w:val="44"/>
          <w:szCs w:val="44"/>
        </w:rPr>
        <w:t>益阳南洞庭湖自然保护区沅江市管理局</w:t>
      </w:r>
      <w:r>
        <w:rPr>
          <w:rFonts w:hint="eastAsia" w:ascii="华文中宋" w:hAnsi="Times New Roman" w:eastAsia="华文中宋" w:cs="华文中宋"/>
          <w:sz w:val="44"/>
          <w:szCs w:val="44"/>
        </w:rPr>
        <w:t>）</w:t>
      </w:r>
    </w:p>
    <w:p>
      <w:pPr>
        <w:autoSpaceDE w:val="0"/>
        <w:autoSpaceDN w:val="0"/>
        <w:adjustRightInd w:val="0"/>
        <w:spacing w:line="520" w:lineRule="exact"/>
        <w:ind w:firstLine="640"/>
        <w:rPr>
          <w:rFonts w:hint="eastAsia" w:ascii="黑体" w:hAnsi="Times New Roman" w:eastAsia="黑体" w:cs="黑体"/>
          <w:sz w:val="32"/>
          <w:szCs w:val="32"/>
        </w:rPr>
      </w:pPr>
    </w:p>
    <w:p>
      <w:pPr>
        <w:autoSpaceDE w:val="0"/>
        <w:autoSpaceDN w:val="0"/>
        <w:adjustRightInd w:val="0"/>
        <w:spacing w:line="520" w:lineRule="exact"/>
        <w:ind w:firstLine="640"/>
        <w:rPr>
          <w:rFonts w:hint="default" w:ascii="Times New Roman" w:hAnsi="Times New Roman" w:eastAsia="黑体"/>
          <w:sz w:val="32"/>
          <w:szCs w:val="32"/>
        </w:rPr>
      </w:pPr>
      <w:r>
        <w:rPr>
          <w:rFonts w:hint="eastAsia" w:ascii="黑体" w:hAnsi="Times New Roman" w:eastAsia="黑体" w:cs="黑体"/>
          <w:sz w:val="32"/>
          <w:szCs w:val="32"/>
        </w:rPr>
        <w:t>一、部门（单位）情况</w:t>
      </w:r>
    </w:p>
    <w:p>
      <w:pPr>
        <w:autoSpaceDE w:val="0"/>
        <w:autoSpaceDN w:val="0"/>
        <w:adjustRightInd w:val="0"/>
        <w:spacing w:line="520" w:lineRule="exact"/>
        <w:ind w:firstLine="643"/>
        <w:rPr>
          <w:rFonts w:hint="default" w:ascii="Times New Roman" w:hAnsi="Times New Roman" w:eastAsia="楷体_GB2312"/>
          <w:b/>
          <w:sz w:val="32"/>
          <w:szCs w:val="32"/>
        </w:rPr>
      </w:pPr>
      <w:r>
        <w:rPr>
          <w:rFonts w:hint="eastAsia" w:ascii="楷体_GB2312" w:hAnsi="Times New Roman" w:eastAsia="楷体_GB2312" w:cs="楷体_GB2312"/>
          <w:b/>
          <w:sz w:val="32"/>
          <w:szCs w:val="32"/>
        </w:rPr>
        <w:t>（一）基本情况。</w:t>
      </w:r>
    </w:p>
    <w:p>
      <w:pPr>
        <w:autoSpaceDE w:val="0"/>
        <w:autoSpaceDN w:val="0"/>
        <w:adjustRightInd w:val="0"/>
        <w:spacing w:line="600" w:lineRule="exact"/>
        <w:ind w:firstLine="640"/>
        <w:rPr>
          <w:rFonts w:hint="eastAsia" w:ascii="仿宋" w:hAnsi="Times New Roman" w:eastAsia="仿宋" w:cs="仿宋"/>
          <w:b/>
          <w:sz w:val="32"/>
          <w:szCs w:val="32"/>
        </w:rPr>
      </w:pPr>
      <w:r>
        <w:rPr>
          <w:rFonts w:hint="eastAsia" w:ascii="仿宋" w:hAnsi="Times New Roman" w:eastAsia="仿宋" w:cs="仿宋"/>
          <w:b/>
          <w:sz w:val="32"/>
          <w:szCs w:val="32"/>
        </w:rPr>
        <w:t>1、主要职能。</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1、贯彻落实国家及省、市有关自然保护和野生动植物资源的方针、政策、法令。</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2、负责组织申报和实施自然保护区生态修复和建设项目，进行退化湿地修复改造；加强对自然保护区试验区、缓冲区、核心区的分类保护和管理。</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3、组织宣传有关湿地保护的法律、法规，开展湿地保护知识的教育；负责湿地保护区界标的设置和管理。</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4、组织实施湿地保护区自然资源的调查、监测、科研、保护和救护工作，加强野生动物疫源疫病监测工作。</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5、组织开展科学研究，重点对濒危珍稀动植物保护发展进行研究，采取生态环境保护措施，做好引种驯化和繁殖工作。</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6、检查监督自然保护区范围内从事湿地野生动植物猎采、饲养、培植等活动，负责自然保护区合理利用和产品开发的规范管理。</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7、 负责自然保护区内日常巡查管护，协助有关部门依法查处自然保护区范围内违反自然保护区、湿地及野生动植物资源管理政策、法规的各类案件。</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8、 依照国际公约的惯例和要求，做好相关工作的协调、协作和交流。</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9、 承办市委、市政府和益阳市林业局交办的其他任务。</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10、负责益阳南洞庭湖自然保护区沅江市范围内的生态环境、野生动植物资源保护、科研和湿地保护项目的实施与管理工作。</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11、益阳南洞庭湖自然保护区沅江市管理局统一受理本管理区域内保护管理方面的群众举报、投诉和基层组织反映的问题进行前期处理，建立台账登记，按职责分工协助有关部门处理并跟踪办理情况。</w:t>
      </w:r>
    </w:p>
    <w:p>
      <w:pPr>
        <w:autoSpaceDE w:val="0"/>
        <w:autoSpaceDN w:val="0"/>
        <w:adjustRightInd w:val="0"/>
        <w:spacing w:line="600" w:lineRule="exact"/>
        <w:ind w:firstLine="640"/>
        <w:rPr>
          <w:rFonts w:hint="eastAsia" w:ascii="仿宋" w:hAnsi="Times New Roman" w:eastAsia="仿宋" w:cs="仿宋"/>
          <w:b/>
          <w:sz w:val="32"/>
          <w:szCs w:val="32"/>
        </w:rPr>
      </w:pPr>
      <w:r>
        <w:rPr>
          <w:rFonts w:hint="eastAsia" w:ascii="仿宋" w:hAnsi="Times New Roman" w:eastAsia="仿宋" w:cs="仿宋"/>
          <w:b/>
          <w:sz w:val="32"/>
          <w:szCs w:val="32"/>
        </w:rPr>
        <w:t>2、机构情况</w:t>
      </w:r>
    </w:p>
    <w:p>
      <w:pPr>
        <w:autoSpaceDE w:val="0"/>
        <w:autoSpaceDN w:val="0"/>
        <w:adjustRightInd w:val="0"/>
        <w:spacing w:line="60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设办公室、财计股、政工人事股、资源保护股、科研宣教股、法制股六个股室。设公益一类股级事业单位三个：沅江市南洞庭湖自然保护区行政执法大队、鲁马湖管理站、漉湖管理站。</w:t>
      </w:r>
    </w:p>
    <w:p>
      <w:pPr>
        <w:autoSpaceDE w:val="0"/>
        <w:autoSpaceDN w:val="0"/>
        <w:adjustRightInd w:val="0"/>
        <w:spacing w:line="600" w:lineRule="exact"/>
        <w:ind w:firstLine="640"/>
        <w:rPr>
          <w:rFonts w:hint="eastAsia" w:ascii="仿宋" w:hAnsi="Times New Roman" w:eastAsia="仿宋" w:cs="仿宋"/>
          <w:b/>
          <w:sz w:val="32"/>
          <w:szCs w:val="32"/>
        </w:rPr>
      </w:pPr>
      <w:r>
        <w:rPr>
          <w:rFonts w:hint="eastAsia" w:ascii="仿宋" w:hAnsi="Times New Roman" w:eastAsia="仿宋" w:cs="仿宋"/>
          <w:b/>
          <w:sz w:val="32"/>
          <w:szCs w:val="32"/>
        </w:rPr>
        <w:t>3、人员情况</w:t>
      </w:r>
    </w:p>
    <w:p>
      <w:pPr>
        <w:autoSpaceDE w:val="0"/>
        <w:autoSpaceDN w:val="0"/>
        <w:adjustRightInd w:val="0"/>
        <w:spacing w:line="600" w:lineRule="exact"/>
        <w:ind w:firstLine="641"/>
        <w:rPr>
          <w:rFonts w:hint="eastAsia" w:ascii="仿宋" w:hAnsi="Times New Roman" w:eastAsia="仿宋" w:cs="仿宋"/>
          <w:sz w:val="32"/>
          <w:szCs w:val="32"/>
        </w:rPr>
      </w:pPr>
      <w:r>
        <w:rPr>
          <w:rFonts w:hint="eastAsia" w:ascii="仿宋" w:hAnsi="Times New Roman" w:eastAsia="仿宋" w:cs="仿宋"/>
          <w:sz w:val="32"/>
          <w:szCs w:val="32"/>
        </w:rPr>
        <w:t>2021年本单位年未实有人数50人，与上年人数一致。</w:t>
      </w:r>
    </w:p>
    <w:p>
      <w:pPr>
        <w:autoSpaceDE w:val="0"/>
        <w:autoSpaceDN w:val="0"/>
        <w:adjustRightInd w:val="0"/>
        <w:spacing w:line="520" w:lineRule="exact"/>
        <w:ind w:firstLine="643"/>
        <w:rPr>
          <w:rFonts w:hint="eastAsia" w:ascii="仿宋" w:hAnsi="Times New Roman" w:eastAsia="仿宋" w:cs="仿宋"/>
          <w:b/>
          <w:sz w:val="32"/>
          <w:szCs w:val="32"/>
        </w:rPr>
      </w:pPr>
      <w:r>
        <w:rPr>
          <w:rFonts w:hint="eastAsia" w:ascii="仿宋" w:hAnsi="Times New Roman" w:eastAsia="仿宋" w:cs="仿宋"/>
          <w:b/>
          <w:sz w:val="32"/>
          <w:szCs w:val="32"/>
        </w:rPr>
        <w:t>（二）当年取得的主要事业成效。</w:t>
      </w:r>
    </w:p>
    <w:p>
      <w:pPr>
        <w:autoSpaceDE w:val="0"/>
        <w:autoSpaceDN w:val="0"/>
        <w:adjustRightInd w:val="0"/>
        <w:spacing w:line="600" w:lineRule="exact"/>
        <w:ind w:firstLine="641"/>
        <w:rPr>
          <w:rFonts w:hint="eastAsia" w:ascii="仿宋" w:hAnsi="Times New Roman" w:eastAsia="仿宋" w:cs="仿宋"/>
          <w:sz w:val="32"/>
          <w:szCs w:val="32"/>
        </w:rPr>
      </w:pPr>
      <w:r>
        <w:rPr>
          <w:rFonts w:hint="eastAsia" w:ascii="仿宋" w:hAnsi="Times New Roman" w:eastAsia="仿宋" w:cs="仿宋"/>
          <w:sz w:val="32"/>
          <w:szCs w:val="32"/>
        </w:rPr>
        <w:t>1、进一步贯彻落实各级环保督察问题整改精神，加强了问题完成整改销号的后续管理工作。</w:t>
      </w:r>
    </w:p>
    <w:p>
      <w:pPr>
        <w:autoSpaceDE w:val="0"/>
        <w:autoSpaceDN w:val="0"/>
        <w:adjustRightInd w:val="0"/>
        <w:spacing w:line="600" w:lineRule="exact"/>
        <w:ind w:firstLine="641"/>
        <w:rPr>
          <w:rFonts w:hint="eastAsia" w:ascii="仿宋" w:hAnsi="Times New Roman" w:eastAsia="仿宋" w:cs="仿宋"/>
          <w:sz w:val="32"/>
          <w:szCs w:val="32"/>
        </w:rPr>
      </w:pPr>
      <w:r>
        <w:rPr>
          <w:rFonts w:hint="eastAsia" w:ascii="仿宋" w:hAnsi="Times New Roman" w:eastAsia="仿宋" w:cs="仿宋"/>
          <w:sz w:val="32"/>
          <w:szCs w:val="32"/>
        </w:rPr>
        <w:t>2、加强了资源管理，开展了一系列环境监测与调查工作</w:t>
      </w:r>
    </w:p>
    <w:p>
      <w:pPr>
        <w:autoSpaceDE w:val="0"/>
        <w:autoSpaceDN w:val="0"/>
        <w:adjustRightInd w:val="0"/>
        <w:spacing w:line="600" w:lineRule="exact"/>
        <w:ind w:firstLine="641"/>
        <w:rPr>
          <w:rFonts w:hint="eastAsia" w:ascii="仿宋" w:hAnsi="Times New Roman" w:eastAsia="仿宋" w:cs="仿宋"/>
          <w:sz w:val="32"/>
          <w:szCs w:val="32"/>
        </w:rPr>
      </w:pPr>
      <w:r>
        <w:rPr>
          <w:rFonts w:hint="eastAsia" w:ascii="仿宋" w:hAnsi="Times New Roman" w:eastAsia="仿宋" w:cs="仿宋"/>
          <w:sz w:val="32"/>
          <w:szCs w:val="32"/>
        </w:rPr>
        <w:t>一是巡护工作常态化，突出整治重点问题。二是配合上级部门做好洞庭湖生态环境整治和生态修复系列工作。三是为加强野生动植物保护，实时开展同步监测调查。为全省洞庭湖区野化动植物种群规划针对性保护措施，促进洞庭湖区自然野化动植物种群的科学保护及其生境的有效管理提供了区域调查数据。四是结合巡护巡查对生态环境专项整治后的杨树退出区域、矮围清拆区域洲滩湿地植被恢复情况进行对比监测。五是严格按照《南洞庭湖自然保护区核心区（沅江）杨树清理迹地生态修复工程实施方案》的技术标准和要求，指导施工单位完成了核心区10个标段工程的建设并顺利通过竣工验收。在益阳市林业局及局分管领导的指导下，现场指导、督促完成了南洞庭湖自然保护区岸线、洲滩及缓冲区、实验区生态修复工程（山水林田湖草生态修复项目）建设，并督促施工单位完善工程建设不足之处，认真做好迎接省级验收准备工作。六是年初按照洞庭湖生态环境专项整治三年行动计划加快湿地生态修复的精神，完成了以自然为主、人工辅助促进湿地生态修复任务；2021年我局牵头工作保护区杨树迹地萌芽条清理，及时制定了清理工作验收方案，得到市人民政府办公室认可。</w:t>
      </w:r>
    </w:p>
    <w:p>
      <w:pPr>
        <w:autoSpaceDE w:val="0"/>
        <w:autoSpaceDN w:val="0"/>
        <w:adjustRightInd w:val="0"/>
        <w:spacing w:line="520" w:lineRule="exact"/>
        <w:ind w:firstLine="640"/>
        <w:rPr>
          <w:rFonts w:hint="default" w:ascii="Times New Roman" w:hAnsi="Times New Roman" w:eastAsia="黑体"/>
          <w:sz w:val="32"/>
          <w:szCs w:val="32"/>
        </w:rPr>
      </w:pPr>
      <w:r>
        <w:rPr>
          <w:rFonts w:hint="eastAsia" w:ascii="黑体" w:hAnsi="Times New Roman" w:eastAsia="黑体" w:cs="黑体"/>
          <w:sz w:val="32"/>
          <w:szCs w:val="32"/>
        </w:rPr>
        <w:t>二、收入支出预算执行情况分析</w:t>
      </w:r>
    </w:p>
    <w:p>
      <w:pPr>
        <w:autoSpaceDE w:val="0"/>
        <w:autoSpaceDN w:val="0"/>
        <w:adjustRightInd w:val="0"/>
        <w:spacing w:line="520" w:lineRule="exact"/>
        <w:ind w:firstLine="643"/>
        <w:rPr>
          <w:rFonts w:hint="default" w:ascii="Times New Roman" w:hAnsi="Times New Roman" w:eastAsia="楷体_GB2312"/>
          <w:b/>
          <w:sz w:val="32"/>
          <w:szCs w:val="32"/>
        </w:rPr>
      </w:pPr>
      <w:r>
        <w:rPr>
          <w:rFonts w:hint="eastAsia" w:ascii="楷体_GB2312" w:hAnsi="Times New Roman" w:eastAsia="楷体_GB2312" w:cs="楷体_GB2312"/>
          <w:b/>
          <w:sz w:val="32"/>
          <w:szCs w:val="32"/>
        </w:rPr>
        <w:t>（一）收入支出预算安排情况。</w:t>
      </w:r>
    </w:p>
    <w:p>
      <w:pPr>
        <w:autoSpaceDE w:val="0"/>
        <w:autoSpaceDN w:val="0"/>
        <w:adjustRightInd w:val="0"/>
        <w:spacing w:line="360" w:lineRule="auto"/>
        <w:ind w:firstLine="640"/>
        <w:rPr>
          <w:rFonts w:hint="default" w:ascii="Times New Roman" w:hAnsi="Times New Roman" w:eastAsia="仿宋"/>
          <w:sz w:val="32"/>
          <w:szCs w:val="32"/>
        </w:rPr>
      </w:pPr>
      <w:r>
        <w:rPr>
          <w:rFonts w:hint="eastAsia" w:ascii="仿宋" w:hAnsi="Times New Roman" w:eastAsia="仿宋" w:cs="仿宋"/>
          <w:sz w:val="32"/>
          <w:szCs w:val="32"/>
        </w:rPr>
        <w:t>2021年，本部门年初预算收入</w:t>
      </w:r>
      <w:r>
        <w:rPr>
          <w:rFonts w:hint="eastAsia" w:ascii="仿宋" w:hAnsi="Times New Roman" w:eastAsia="仿宋" w:cs="仿宋"/>
          <w:sz w:val="28"/>
          <w:szCs w:val="28"/>
        </w:rPr>
        <w:t>631</w:t>
      </w:r>
      <w:r>
        <w:rPr>
          <w:rFonts w:hint="eastAsia" w:ascii="仿宋" w:hAnsi="Times New Roman" w:eastAsia="仿宋" w:cs="仿宋"/>
          <w:sz w:val="32"/>
          <w:szCs w:val="32"/>
        </w:rPr>
        <w:t>万元，比上年增长44万元，上涨了7.5%,</w:t>
      </w:r>
      <w:r>
        <w:rPr>
          <w:rFonts w:hint="eastAsia" w:ascii="仿宋" w:hAnsi="Times New Roman" w:eastAsia="仿宋" w:cs="仿宋"/>
          <w:sz w:val="32"/>
          <w:szCs w:val="32"/>
          <w:lang w:val="zh-CN"/>
        </w:rPr>
        <w:t>增减变化的主要原因是</w:t>
      </w:r>
      <w:r>
        <w:rPr>
          <w:rFonts w:hint="eastAsia" w:ascii="仿宋" w:hAnsi="Times New Roman" w:eastAsia="仿宋" w:cs="仿宋"/>
          <w:sz w:val="32"/>
          <w:szCs w:val="32"/>
        </w:rPr>
        <w:t>：在职人员增加。其中：一般公共预算财政拨款收入年初预算</w:t>
      </w:r>
      <w:r>
        <w:rPr>
          <w:rFonts w:hint="eastAsia" w:ascii="仿宋" w:hAnsi="Times New Roman" w:eastAsia="仿宋" w:cs="仿宋"/>
          <w:sz w:val="28"/>
          <w:szCs w:val="28"/>
        </w:rPr>
        <w:t>631</w:t>
      </w:r>
      <w:r>
        <w:rPr>
          <w:rFonts w:hint="eastAsia" w:ascii="仿宋" w:hAnsi="Times New Roman" w:eastAsia="仿宋" w:cs="仿宋"/>
          <w:sz w:val="32"/>
          <w:szCs w:val="32"/>
        </w:rPr>
        <w:t>万元，比上年增长44万元。年度执行中因单位人数变动及单位事权调整，预算跟随调整情况，主要变化是：收入调整预算数为1785万元。</w:t>
      </w:r>
    </w:p>
    <w:p>
      <w:pPr>
        <w:autoSpaceDE w:val="0"/>
        <w:autoSpaceDN w:val="0"/>
        <w:adjustRightInd w:val="0"/>
        <w:spacing w:line="360" w:lineRule="auto"/>
        <w:ind w:firstLine="640"/>
        <w:rPr>
          <w:rFonts w:hint="eastAsia" w:ascii="仿宋" w:hAnsi="Times New Roman" w:eastAsia="仿宋" w:cs="仿宋"/>
          <w:sz w:val="32"/>
          <w:szCs w:val="32"/>
        </w:rPr>
      </w:pPr>
      <w:r>
        <w:rPr>
          <w:rFonts w:hint="eastAsia" w:ascii="仿宋" w:hAnsi="Times New Roman" w:eastAsia="仿宋" w:cs="仿宋"/>
          <w:sz w:val="32"/>
          <w:szCs w:val="32"/>
        </w:rPr>
        <w:t>2021年，本部门年初预算支出631万元，比上年增长44万元，上涨了7.5%，增减变化的主要原因是：在职人员增加。其中：基本支出年初预算511万元，比上年增长44万元，上涨了9.42%，项目支出年初预算120万元，与上年持平。年度执行中因单位人数变动及单位事权调整，预算跟随调整情况，主要变化是：收入调整预算数。</w:t>
      </w:r>
    </w:p>
    <w:p>
      <w:pPr>
        <w:autoSpaceDE w:val="0"/>
        <w:autoSpaceDN w:val="0"/>
        <w:adjustRightInd w:val="0"/>
        <w:spacing w:line="520" w:lineRule="exact"/>
        <w:ind w:firstLine="643"/>
        <w:rPr>
          <w:rFonts w:hint="default" w:ascii="Times New Roman" w:hAnsi="Times New Roman" w:eastAsia="楷体_GB2312"/>
          <w:b/>
          <w:sz w:val="32"/>
          <w:szCs w:val="32"/>
        </w:rPr>
      </w:pPr>
      <w:r>
        <w:rPr>
          <w:rFonts w:hint="eastAsia" w:ascii="楷体_GB2312" w:hAnsi="Times New Roman" w:eastAsia="楷体_GB2312" w:cs="楷体_GB2312"/>
          <w:b/>
          <w:sz w:val="32"/>
          <w:szCs w:val="32"/>
        </w:rPr>
        <w:t>（二）收入支出预算执行情况。</w:t>
      </w:r>
    </w:p>
    <w:p>
      <w:pPr>
        <w:autoSpaceDE w:val="0"/>
        <w:autoSpaceDN w:val="0"/>
        <w:adjustRightInd w:val="0"/>
        <w:spacing w:line="52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2021年收入实际完成</w:t>
      </w:r>
      <w:r>
        <w:rPr>
          <w:rFonts w:hint="eastAsia" w:ascii="仿宋" w:hAnsi="Times New Roman" w:eastAsia="仿宋" w:cs="仿宋"/>
          <w:sz w:val="28"/>
          <w:szCs w:val="28"/>
        </w:rPr>
        <w:t>1785</w:t>
      </w:r>
      <w:r>
        <w:rPr>
          <w:rFonts w:hint="eastAsia" w:ascii="仿宋" w:hAnsi="Times New Roman" w:eastAsia="仿宋" w:cs="仿宋"/>
          <w:sz w:val="32"/>
          <w:szCs w:val="32"/>
        </w:rPr>
        <w:t>万元，比上年下降768万元，下降</w:t>
      </w:r>
      <w:r>
        <w:rPr>
          <w:rFonts w:hint="eastAsia" w:ascii="仿宋" w:hAnsi="Times New Roman" w:eastAsia="仿宋" w:cs="仿宋"/>
          <w:sz w:val="28"/>
          <w:szCs w:val="28"/>
        </w:rPr>
        <w:t>30.08</w:t>
      </w:r>
      <w:r>
        <w:rPr>
          <w:rFonts w:hint="eastAsia" w:ascii="仿宋" w:hAnsi="Times New Roman" w:eastAsia="仿宋" w:cs="仿宋"/>
          <w:sz w:val="32"/>
          <w:szCs w:val="32"/>
        </w:rPr>
        <w:t>%。主要原因是：单位收到的财政拨付的其他专项资金减少。</w:t>
      </w:r>
    </w:p>
    <w:p>
      <w:pPr>
        <w:autoSpaceDE w:val="0"/>
        <w:autoSpaceDN w:val="0"/>
        <w:adjustRightInd w:val="0"/>
        <w:spacing w:line="520" w:lineRule="exact"/>
        <w:ind w:firstLine="640"/>
        <w:rPr>
          <w:rFonts w:hint="eastAsia" w:ascii="仿宋" w:hAnsi="Times New Roman" w:eastAsia="仿宋" w:cs="仿宋"/>
          <w:sz w:val="32"/>
          <w:szCs w:val="32"/>
        </w:rPr>
      </w:pPr>
      <w:r>
        <w:rPr>
          <w:rFonts w:hint="eastAsia" w:ascii="仿宋" w:hAnsi="Times New Roman" w:eastAsia="仿宋" w:cs="仿宋"/>
          <w:sz w:val="32"/>
          <w:szCs w:val="32"/>
        </w:rPr>
        <w:t>其中：一般公共预算财政拨款收入完成</w:t>
      </w:r>
      <w:r>
        <w:rPr>
          <w:rFonts w:hint="eastAsia" w:ascii="仿宋" w:hAnsi="Times New Roman" w:eastAsia="仿宋" w:cs="仿宋"/>
          <w:sz w:val="28"/>
          <w:szCs w:val="28"/>
        </w:rPr>
        <w:t>844</w:t>
      </w:r>
      <w:r>
        <w:rPr>
          <w:rFonts w:hint="eastAsia" w:ascii="仿宋" w:hAnsi="Times New Roman" w:eastAsia="仿宋" w:cs="仿宋"/>
          <w:sz w:val="32"/>
          <w:szCs w:val="32"/>
        </w:rPr>
        <w:t>万元，比上年减少</w:t>
      </w:r>
      <w:r>
        <w:rPr>
          <w:rFonts w:hint="eastAsia" w:ascii="仿宋" w:hAnsi="Times New Roman" w:eastAsia="仿宋" w:cs="仿宋"/>
          <w:sz w:val="28"/>
          <w:szCs w:val="28"/>
        </w:rPr>
        <w:t>167</w:t>
      </w:r>
      <w:r>
        <w:rPr>
          <w:rFonts w:hint="eastAsia" w:ascii="仿宋" w:hAnsi="Times New Roman" w:eastAsia="仿宋" w:cs="仿宋"/>
          <w:sz w:val="32"/>
          <w:szCs w:val="32"/>
        </w:rPr>
        <w:t>万元，下降16.52</w:t>
      </w:r>
      <w:r>
        <w:rPr>
          <w:rFonts w:hint="eastAsia" w:ascii="仿宋" w:hAnsi="Times New Roman" w:eastAsia="仿宋" w:cs="仿宋"/>
          <w:sz w:val="32"/>
          <w:szCs w:val="32"/>
          <w:lang w:val="zh-CN"/>
        </w:rPr>
        <w:t>%，变化的主要原因是：</w:t>
      </w:r>
      <w:r>
        <w:rPr>
          <w:rFonts w:hint="eastAsia" w:ascii="仿宋_GB2312" w:hAnsi="Times New Roman" w:eastAsia="仿宋_GB2312" w:cs="仿宋"/>
          <w:sz w:val="32"/>
          <w:szCs w:val="32"/>
          <w:lang w:val="zh-CN"/>
        </w:rPr>
        <w:t>财政拨款减少</w:t>
      </w:r>
      <w:r>
        <w:rPr>
          <w:rFonts w:hint="eastAsia" w:ascii="仿宋" w:hAnsi="Times New Roman" w:eastAsia="仿宋" w:cs="仿宋"/>
          <w:sz w:val="32"/>
          <w:szCs w:val="32"/>
        </w:rPr>
        <w:t>；其他收入完成936万元，比上年下降606万元，下降39.3%，变化的主要原因是：单位收到的财政拨付的其他专项资金减少。</w:t>
      </w:r>
    </w:p>
    <w:p>
      <w:pPr>
        <w:autoSpaceDE w:val="0"/>
        <w:autoSpaceDN w:val="0"/>
        <w:adjustRightInd w:val="0"/>
        <w:spacing w:line="520" w:lineRule="exact"/>
        <w:ind w:firstLine="643"/>
        <w:rPr>
          <w:rFonts w:hint="eastAsia" w:ascii="仿宋" w:hAnsi="Times New Roman" w:eastAsia="仿宋" w:cs="仿宋"/>
          <w:sz w:val="32"/>
          <w:szCs w:val="32"/>
        </w:rPr>
      </w:pPr>
      <w:r>
        <w:rPr>
          <w:rFonts w:hint="eastAsia" w:ascii="仿宋" w:hAnsi="Times New Roman" w:eastAsia="仿宋" w:cs="仿宋"/>
          <w:sz w:val="32"/>
          <w:szCs w:val="32"/>
        </w:rPr>
        <w:t>2021年，本部门支出1923万元，比上年下降520万元，下降21.29%；变化的主要原因：单位收到的财政拨付的其他专项资金减少。</w:t>
      </w:r>
    </w:p>
    <w:p>
      <w:pPr>
        <w:autoSpaceDE w:val="0"/>
        <w:autoSpaceDN w:val="0"/>
        <w:adjustRightInd w:val="0"/>
        <w:spacing w:line="520" w:lineRule="exact"/>
        <w:ind w:firstLine="643"/>
        <w:rPr>
          <w:rFonts w:hint="eastAsia" w:ascii="仿宋" w:hAnsi="Times New Roman" w:eastAsia="仿宋" w:cs="仿宋"/>
          <w:sz w:val="32"/>
          <w:szCs w:val="32"/>
        </w:rPr>
      </w:pPr>
      <w:r>
        <w:rPr>
          <w:rFonts w:hint="eastAsia" w:ascii="仿宋" w:hAnsi="Times New Roman" w:eastAsia="仿宋" w:cs="仿宋"/>
          <w:sz w:val="32"/>
          <w:szCs w:val="32"/>
        </w:rPr>
        <w:t>其中：基本支出完成612万元，比上年增加9万元，增涨1.49%，变化的主要原因：主管部门拨款增加。项目支出1311万元，比上年减少528万元，下降28.71%；变化的主要原因：单位收到的财政拨付的其他专项资金减少。人员经费完成586万元，比上年增加14万元，上涨2.45%，变化的主要原因：</w:t>
      </w:r>
      <w:r>
        <w:rPr>
          <w:rFonts w:hint="eastAsia" w:ascii="仿宋_GB2312" w:hAnsi="Times New Roman" w:eastAsia="仿宋_GB2312" w:cs="仿宋"/>
          <w:sz w:val="32"/>
          <w:szCs w:val="32"/>
        </w:rPr>
        <w:t>主管部门拨款增加</w:t>
      </w:r>
      <w:r>
        <w:rPr>
          <w:rFonts w:hint="eastAsia" w:ascii="仿宋" w:hAnsi="Times New Roman" w:eastAsia="仿宋" w:cs="仿宋"/>
          <w:sz w:val="32"/>
          <w:szCs w:val="32"/>
        </w:rPr>
        <w:t>；公用经费完成26万元，比上年减少5万元，下降16.13%，变化的主要原因：单位列支的公用经费减少。</w:t>
      </w:r>
    </w:p>
    <w:p>
      <w:pPr>
        <w:autoSpaceDE w:val="0"/>
        <w:autoSpaceDN w:val="0"/>
        <w:adjustRightInd w:val="0"/>
        <w:spacing w:line="520" w:lineRule="exact"/>
        <w:ind w:firstLine="643"/>
        <w:rPr>
          <w:rFonts w:hint="default" w:ascii="Times New Roman" w:hAnsi="Times New Roman" w:eastAsia="仿宋_GB2312"/>
          <w:b/>
          <w:sz w:val="32"/>
          <w:szCs w:val="32"/>
        </w:rPr>
      </w:pPr>
      <w:r>
        <w:rPr>
          <w:rFonts w:hint="eastAsia" w:ascii="仿宋_GB2312" w:hAnsi="Times New Roman" w:eastAsia="仿宋_GB2312" w:cs="仿宋_GB2312"/>
          <w:b/>
          <w:sz w:val="32"/>
          <w:szCs w:val="32"/>
        </w:rPr>
        <w:t>1．支出按经济分类科目分析。</w:t>
      </w:r>
    </w:p>
    <w:p>
      <w:pPr>
        <w:autoSpaceDE w:val="0"/>
        <w:autoSpaceDN w:val="0"/>
        <w:adjustRightInd w:val="0"/>
        <w:spacing w:line="520" w:lineRule="exact"/>
        <w:ind w:firstLine="640"/>
        <w:rPr>
          <w:rFonts w:hint="default" w:ascii="Times New Roman" w:hAnsi="Times New Roman" w:eastAsia="仿宋"/>
          <w:sz w:val="32"/>
          <w:szCs w:val="32"/>
          <w:lang w:val="zh-CN"/>
        </w:rPr>
      </w:pPr>
      <w:r>
        <w:rPr>
          <w:rFonts w:hint="eastAsia" w:ascii="仿宋" w:hAnsi="Times New Roman" w:eastAsia="仿宋" w:cs="仿宋"/>
          <w:sz w:val="32"/>
          <w:szCs w:val="32"/>
        </w:rPr>
        <w:t>（1）</w:t>
      </w:r>
      <w:r>
        <w:rPr>
          <w:rFonts w:hint="default" w:ascii="Times New Roman" w:hAnsi="Times New Roman" w:eastAsia="仿宋"/>
          <w:b/>
          <w:sz w:val="32"/>
          <w:szCs w:val="32"/>
        </w:rPr>
        <w:t>“</w:t>
      </w:r>
      <w:r>
        <w:rPr>
          <w:rFonts w:hint="eastAsia" w:ascii="仿宋" w:hAnsi="Times New Roman" w:eastAsia="仿宋" w:cs="仿宋"/>
          <w:sz w:val="32"/>
          <w:szCs w:val="32"/>
        </w:rPr>
        <w:t>三公</w:t>
      </w:r>
      <w:r>
        <w:rPr>
          <w:rFonts w:hint="default" w:ascii="Times New Roman" w:hAnsi="Times New Roman" w:eastAsia="仿宋"/>
          <w:b/>
          <w:sz w:val="32"/>
          <w:szCs w:val="32"/>
        </w:rPr>
        <w:t>”</w:t>
      </w:r>
      <w:r>
        <w:rPr>
          <w:rFonts w:hint="eastAsia" w:ascii="仿宋" w:hAnsi="Times New Roman" w:eastAsia="仿宋" w:cs="仿宋"/>
          <w:sz w:val="32"/>
          <w:szCs w:val="32"/>
        </w:rPr>
        <w:t>经费支出情况：2021年，</w:t>
      </w:r>
      <w:r>
        <w:rPr>
          <w:rFonts w:hint="default" w:ascii="Times New Roman" w:hAnsi="Times New Roman" w:eastAsia="仿宋"/>
          <w:sz w:val="32"/>
          <w:szCs w:val="32"/>
        </w:rPr>
        <w:t>“</w:t>
      </w:r>
      <w:r>
        <w:rPr>
          <w:rFonts w:hint="eastAsia" w:ascii="仿宋" w:hAnsi="Times New Roman" w:eastAsia="仿宋" w:cs="仿宋"/>
          <w:sz w:val="32"/>
          <w:szCs w:val="32"/>
        </w:rPr>
        <w:t>三公</w:t>
      </w:r>
      <w:r>
        <w:rPr>
          <w:rFonts w:hint="default" w:ascii="Times New Roman" w:hAnsi="Times New Roman" w:eastAsia="仿宋"/>
          <w:sz w:val="32"/>
          <w:szCs w:val="32"/>
        </w:rPr>
        <w:t>”</w:t>
      </w:r>
      <w:r>
        <w:rPr>
          <w:rFonts w:hint="eastAsia" w:ascii="仿宋" w:hAnsi="Times New Roman" w:eastAsia="仿宋" w:cs="仿宋"/>
          <w:sz w:val="32"/>
          <w:szCs w:val="32"/>
        </w:rPr>
        <w:t>经费完成45011元，比上年减少405元，下降0.89%</w:t>
      </w:r>
      <w:r>
        <w:rPr>
          <w:rFonts w:hint="eastAsia" w:ascii="仿宋" w:hAnsi="Times New Roman" w:eastAsia="仿宋" w:cs="仿宋"/>
          <w:sz w:val="32"/>
          <w:szCs w:val="32"/>
          <w:lang w:val="zh-CN"/>
        </w:rPr>
        <w:t>。其中：公务接待费</w:t>
      </w:r>
      <w:r>
        <w:rPr>
          <w:rFonts w:hint="eastAsia" w:ascii="仿宋" w:hAnsi="Times New Roman" w:eastAsia="仿宋" w:cs="仿宋"/>
          <w:sz w:val="32"/>
          <w:szCs w:val="32"/>
        </w:rPr>
        <w:t>完成45011元，比上年减少405元，下降0.89%</w:t>
      </w:r>
      <w:r>
        <w:rPr>
          <w:rFonts w:hint="eastAsia" w:ascii="仿宋" w:hAnsi="Times New Roman" w:eastAsia="仿宋" w:cs="仿宋"/>
          <w:sz w:val="32"/>
          <w:szCs w:val="32"/>
          <w:lang w:val="zh-CN"/>
        </w:rPr>
        <w:t>。</w:t>
      </w:r>
    </w:p>
    <w:p>
      <w:pPr>
        <w:autoSpaceDE w:val="0"/>
        <w:autoSpaceDN w:val="0"/>
        <w:adjustRightInd w:val="0"/>
        <w:spacing w:line="520" w:lineRule="exact"/>
        <w:ind w:firstLine="640"/>
        <w:rPr>
          <w:rFonts w:hint="default" w:ascii="Times New Roman" w:hAnsi="Times New Roman" w:eastAsia="仿宋"/>
          <w:sz w:val="32"/>
          <w:szCs w:val="32"/>
        </w:rPr>
      </w:pPr>
      <w:r>
        <w:rPr>
          <w:rFonts w:hint="eastAsia" w:ascii="仿宋" w:hAnsi="Times New Roman" w:eastAsia="仿宋" w:cs="仿宋"/>
          <w:sz w:val="32"/>
          <w:szCs w:val="32"/>
        </w:rPr>
        <w:t>（2）会议费支出情况：2021年会议费完成</w:t>
      </w:r>
      <w:r>
        <w:rPr>
          <w:rFonts w:hint="eastAsia" w:ascii="仿宋" w:hAnsi="Times New Roman" w:eastAsia="仿宋" w:cs="仿宋"/>
          <w:sz w:val="28"/>
          <w:szCs w:val="28"/>
        </w:rPr>
        <w:t>0</w:t>
      </w:r>
      <w:r>
        <w:rPr>
          <w:rFonts w:hint="eastAsia" w:ascii="仿宋" w:hAnsi="Times New Roman" w:eastAsia="仿宋" w:cs="仿宋"/>
          <w:sz w:val="32"/>
          <w:szCs w:val="32"/>
        </w:rPr>
        <w:t>元</w:t>
      </w:r>
      <w:r>
        <w:rPr>
          <w:rFonts w:hint="eastAsia" w:ascii="仿宋" w:hAnsi="Times New Roman" w:eastAsia="仿宋" w:cs="仿宋"/>
          <w:sz w:val="32"/>
          <w:szCs w:val="32"/>
          <w:lang w:val="zh-CN"/>
        </w:rPr>
        <w:t>。</w:t>
      </w:r>
    </w:p>
    <w:p>
      <w:pPr>
        <w:autoSpaceDE w:val="0"/>
        <w:autoSpaceDN w:val="0"/>
        <w:adjustRightInd w:val="0"/>
        <w:spacing w:line="520" w:lineRule="exact"/>
        <w:ind w:firstLine="640"/>
        <w:rPr>
          <w:rFonts w:hint="eastAsia" w:ascii="仿宋" w:hAnsi="Times New Roman" w:eastAsia="仿宋" w:cs="仿宋"/>
          <w:sz w:val="32"/>
          <w:szCs w:val="32"/>
          <w:lang w:val="zh-CN"/>
        </w:rPr>
      </w:pPr>
      <w:r>
        <w:rPr>
          <w:rFonts w:hint="eastAsia" w:ascii="仿宋" w:hAnsi="Times New Roman" w:eastAsia="仿宋" w:cs="仿宋"/>
          <w:sz w:val="32"/>
          <w:szCs w:val="32"/>
        </w:rPr>
        <w:t>（3）培训费支出情况：2021年培训费完成</w:t>
      </w:r>
      <w:r>
        <w:rPr>
          <w:rFonts w:hint="eastAsia" w:ascii="仿宋" w:hAnsi="Times New Roman" w:eastAsia="仿宋" w:cs="仿宋"/>
          <w:sz w:val="28"/>
          <w:szCs w:val="28"/>
        </w:rPr>
        <w:t>112182</w:t>
      </w:r>
      <w:r>
        <w:rPr>
          <w:rFonts w:hint="eastAsia" w:ascii="仿宋" w:hAnsi="Times New Roman" w:eastAsia="仿宋" w:cs="仿宋"/>
          <w:sz w:val="32"/>
          <w:szCs w:val="32"/>
        </w:rPr>
        <w:t>元，比上年减少5400元，下降4.6</w:t>
      </w:r>
      <w:r>
        <w:rPr>
          <w:rFonts w:hint="eastAsia" w:ascii="仿宋" w:hAnsi="Times New Roman" w:eastAsia="仿宋" w:cs="仿宋"/>
          <w:sz w:val="28"/>
          <w:szCs w:val="28"/>
        </w:rPr>
        <w:t>%</w:t>
      </w:r>
      <w:r>
        <w:rPr>
          <w:rFonts w:hint="eastAsia" w:ascii="仿宋" w:hAnsi="Times New Roman" w:eastAsia="仿宋" w:cs="仿宋"/>
          <w:sz w:val="32"/>
          <w:szCs w:val="32"/>
          <w:lang w:val="zh-CN"/>
        </w:rPr>
        <w:t>。</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2.财政拨款收入、支出分析。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2021年财政拨款收入844万元，其中基本支出612万元，主要用于人员经费等开支；项目支出232万元，主要用于</w:t>
      </w:r>
      <w:r>
        <w:rPr>
          <w:rFonts w:hint="eastAsia" w:ascii="仿宋_GB2312" w:hAnsi="仿宋" w:eastAsia="仿宋_GB2312" w:cs="仿宋"/>
          <w:color w:val="000000"/>
          <w:sz w:val="32"/>
          <w:szCs w:val="32"/>
        </w:rPr>
        <w:t>苇山防火减灾、野生动植物保护、禁捕退捕、生物多样性建设、湿地生态保护等项目支出</w:t>
      </w:r>
      <w:r>
        <w:rPr>
          <w:rFonts w:hint="eastAsia" w:ascii="仿宋_GB2312" w:hAnsi="仿宋" w:eastAsia="仿宋_GB2312"/>
          <w:sz w:val="32"/>
          <w:szCs w:val="32"/>
        </w:rPr>
        <w:t>。</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3.非财政拨款收入分析。</w:t>
      </w:r>
    </w:p>
    <w:p>
      <w:pPr>
        <w:snapToGrid w:val="0"/>
        <w:spacing w:line="520" w:lineRule="exact"/>
        <w:ind w:firstLine="640" w:firstLineChars="200"/>
        <w:rPr>
          <w:rFonts w:hint="eastAsia" w:ascii="仿宋" w:hAnsi="Times New Roman" w:eastAsia="仿宋" w:cs="仿宋"/>
          <w:sz w:val="32"/>
          <w:szCs w:val="32"/>
          <w:lang w:val="zh-CN"/>
        </w:rPr>
      </w:pPr>
      <w:r>
        <w:rPr>
          <w:rFonts w:hint="eastAsia" w:ascii="仿宋_GB2312" w:hAnsi="仿宋" w:eastAsia="仿宋_GB2312"/>
          <w:sz w:val="32"/>
          <w:szCs w:val="32"/>
        </w:rPr>
        <w:t>2021年非财政拨款收入主要是其他收入936万元，主要用于</w:t>
      </w:r>
      <w:r>
        <w:rPr>
          <w:rFonts w:hint="eastAsia" w:ascii="仿宋_GB2312" w:hAnsi="仿宋" w:eastAsia="仿宋_GB2312" w:cs="仿宋"/>
          <w:color w:val="000000"/>
          <w:sz w:val="32"/>
          <w:szCs w:val="32"/>
        </w:rPr>
        <w:t>洞庭湖生态环境修护、小微湿地建设、杨树迹地修护和萌芽条清理等项目支出</w:t>
      </w:r>
      <w:r>
        <w:rPr>
          <w:rFonts w:hint="eastAsia" w:ascii="仿宋_GB2312" w:hAnsi="仿宋" w:eastAsia="仿宋_GB2312"/>
          <w:sz w:val="32"/>
          <w:szCs w:val="32"/>
        </w:rPr>
        <w:t>。</w:t>
      </w:r>
    </w:p>
    <w:p>
      <w:pPr>
        <w:autoSpaceDE w:val="0"/>
        <w:autoSpaceDN w:val="0"/>
        <w:adjustRightInd w:val="0"/>
        <w:spacing w:line="520" w:lineRule="exact"/>
        <w:ind w:firstLine="643"/>
        <w:rPr>
          <w:rFonts w:hint="default" w:ascii="Times New Roman" w:hAnsi="Times New Roman" w:eastAsia="楷体_GB2312"/>
          <w:b/>
          <w:sz w:val="32"/>
          <w:szCs w:val="32"/>
        </w:rPr>
      </w:pPr>
      <w:r>
        <w:rPr>
          <w:rFonts w:hint="eastAsia" w:ascii="楷体_GB2312" w:hAnsi="Times New Roman" w:eastAsia="楷体_GB2312" w:cs="楷体_GB2312"/>
          <w:b/>
          <w:sz w:val="32"/>
          <w:szCs w:val="32"/>
        </w:rPr>
        <w:t>（三）年末结转和结余情况。</w:t>
      </w:r>
    </w:p>
    <w:p>
      <w:pPr>
        <w:autoSpaceDE w:val="0"/>
        <w:autoSpaceDN w:val="0"/>
        <w:adjustRightInd w:val="0"/>
        <w:spacing w:line="520" w:lineRule="exact"/>
        <w:ind w:firstLine="643"/>
        <w:rPr>
          <w:rFonts w:hint="eastAsia" w:ascii="仿宋" w:hAnsi="Times New Roman" w:eastAsia="仿宋" w:cs="仿宋"/>
          <w:sz w:val="32"/>
          <w:szCs w:val="32"/>
        </w:rPr>
      </w:pPr>
      <w:r>
        <w:rPr>
          <w:rFonts w:hint="eastAsia" w:ascii="仿宋" w:hAnsi="Times New Roman" w:eastAsia="仿宋" w:cs="仿宋"/>
          <w:sz w:val="32"/>
          <w:szCs w:val="32"/>
        </w:rPr>
        <w:t>2021年，本单位年末结转和结余资金</w:t>
      </w:r>
      <w:r>
        <w:rPr>
          <w:rFonts w:hint="eastAsia" w:ascii="仿宋" w:hAnsi="Times New Roman" w:eastAsia="仿宋" w:cs="仿宋"/>
          <w:sz w:val="28"/>
          <w:szCs w:val="28"/>
        </w:rPr>
        <w:t>0</w:t>
      </w:r>
      <w:r>
        <w:rPr>
          <w:rFonts w:hint="eastAsia" w:ascii="仿宋" w:hAnsi="Times New Roman" w:eastAsia="仿宋" w:cs="仿宋"/>
          <w:sz w:val="32"/>
          <w:szCs w:val="32"/>
        </w:rPr>
        <w:t>元，比上年下降138万元，下降100%，主要原因是财政收回年末结转结余资金。</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（四）与预算支出相关的其他指标分析。</w:t>
      </w:r>
    </w:p>
    <w:p>
      <w:pPr>
        <w:autoSpaceDE w:val="0"/>
        <w:autoSpaceDN w:val="0"/>
        <w:adjustRightInd w:val="0"/>
        <w:spacing w:line="520" w:lineRule="exact"/>
        <w:ind w:firstLine="643"/>
        <w:rPr>
          <w:rFonts w:hint="eastAsia" w:ascii="仿宋" w:hAnsi="Times New Roman" w:eastAsia="仿宋" w:cs="仿宋"/>
          <w:sz w:val="32"/>
          <w:szCs w:val="32"/>
          <w:lang w:val="zh-CN"/>
        </w:rPr>
      </w:pPr>
      <w:r>
        <w:rPr>
          <w:rFonts w:hint="eastAsia" w:ascii="仿宋_GB2312" w:hAnsi="仿宋" w:eastAsia="仿宋_GB2312"/>
          <w:sz w:val="32"/>
          <w:szCs w:val="32"/>
        </w:rPr>
        <w:t>2021年货币资金340万元，比上年度增长223万元，增涨190.6%，主要原因项目未完成，未支付项目款。</w:t>
      </w:r>
    </w:p>
    <w:p>
      <w:pPr>
        <w:autoSpaceDE w:val="0"/>
        <w:autoSpaceDN w:val="0"/>
        <w:adjustRightInd w:val="0"/>
        <w:spacing w:line="520" w:lineRule="exact"/>
        <w:ind w:firstLine="640"/>
        <w:rPr>
          <w:rFonts w:hint="default" w:ascii="Times New Roman" w:hAnsi="Times New Roman" w:eastAsia="楷体_GB2312"/>
          <w:b/>
          <w:sz w:val="32"/>
          <w:szCs w:val="32"/>
        </w:rPr>
      </w:pPr>
      <w:r>
        <w:rPr>
          <w:rFonts w:hint="eastAsia" w:ascii="楷体_GB2312" w:hAnsi="仿宋" w:eastAsia="楷体_GB2312"/>
          <w:b/>
          <w:sz w:val="32"/>
          <w:szCs w:val="32"/>
        </w:rPr>
        <w:t>（五）</w:t>
      </w:r>
      <w:r>
        <w:rPr>
          <w:rFonts w:hint="eastAsia" w:ascii="楷体_GB2312" w:hAnsi="Times New Roman" w:eastAsia="楷体_GB2312" w:cs="楷体_GB2312"/>
          <w:b/>
          <w:sz w:val="32"/>
          <w:szCs w:val="32"/>
        </w:rPr>
        <w:t>绩效目标完成情况。</w:t>
      </w:r>
    </w:p>
    <w:p>
      <w:pPr>
        <w:autoSpaceDE w:val="0"/>
        <w:autoSpaceDN w:val="0"/>
        <w:adjustRightInd w:val="0"/>
        <w:spacing w:line="520" w:lineRule="exact"/>
        <w:ind w:firstLine="64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1.概述项目绩效目标完成情况。</w:t>
      </w:r>
    </w:p>
    <w:p>
      <w:pPr>
        <w:autoSpaceDE w:val="0"/>
        <w:autoSpaceDN w:val="0"/>
        <w:adjustRightInd w:val="0"/>
        <w:spacing w:line="520" w:lineRule="exact"/>
        <w:ind w:firstLine="640"/>
        <w:rPr>
          <w:rFonts w:hint="default" w:ascii="Times New Roman" w:hAnsi="Times New Roman" w:eastAsia="仿宋_GB2312"/>
          <w:sz w:val="32"/>
          <w:szCs w:val="32"/>
        </w:rPr>
      </w:pPr>
      <w:r>
        <w:rPr>
          <w:rFonts w:hint="eastAsia" w:ascii="仿宋_GB2312" w:hAnsi="Times New Roman" w:eastAsia="仿宋_GB2312"/>
          <w:sz w:val="32"/>
          <w:szCs w:val="32"/>
        </w:rPr>
        <w:t>2021</w:t>
      </w:r>
      <w:r>
        <w:rPr>
          <w:rFonts w:hint="eastAsia" w:ascii="Times New Roman" w:hAnsi="Times New Roman" w:eastAsia="仿宋_GB2312"/>
          <w:sz w:val="32"/>
          <w:szCs w:val="32"/>
        </w:rPr>
        <w:t>年我局实施的湿地巡护和站务费用专项资金项目总体评价是：项目科学合理，项目管理规范，项目监管到位，项目完成较好，项目质量较高，运行保障有力，各项效益明显，群众反响较好，社会生态效益显著。</w:t>
      </w:r>
    </w:p>
    <w:p>
      <w:pPr>
        <w:autoSpaceDE w:val="0"/>
        <w:autoSpaceDN w:val="0"/>
        <w:adjustRightInd w:val="0"/>
        <w:spacing w:line="520" w:lineRule="exact"/>
        <w:ind w:firstLine="64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2.本单位整体支出绩效目标实现情况。</w:t>
      </w:r>
    </w:p>
    <w:p>
      <w:pPr>
        <w:autoSpaceDE w:val="0"/>
        <w:autoSpaceDN w:val="0"/>
        <w:adjustRightInd w:val="0"/>
        <w:spacing w:line="52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t>我局严格按照年初预算进行部门整体支出。在支出过程中，能严格遵守各项规章制度。所有项目都详细制定了方案，严格按方案组织实施，并加强了监督。尤其是在专项经费支出上，专款专用，按项目实施计划的进度情况进行资金拨付，无截留、无挪用等现象。完成了市委市政府确定的各项目标任务。实行了先有预算、后有执行、“用钱必问效、无效必问责”的新常态。</w:t>
      </w:r>
    </w:p>
    <w:p>
      <w:pPr>
        <w:snapToGrid w:val="0"/>
        <w:spacing w:line="520" w:lineRule="exact"/>
        <w:ind w:firstLine="640" w:firstLineChars="200"/>
        <w:rPr>
          <w:rFonts w:hint="eastAsia" w:ascii="黑体" w:hAnsi="黑体" w:eastAsia="黑体"/>
          <w:sz w:val="32"/>
          <w:szCs w:val="32"/>
        </w:rPr>
      </w:pPr>
      <w:bookmarkStart w:id="0" w:name="YS060104"/>
      <w:r>
        <w:rPr>
          <w:rFonts w:hint="eastAsia" w:ascii="黑体" w:hAnsi="黑体" w:eastAsia="黑体"/>
          <w:sz w:val="32"/>
          <w:szCs w:val="32"/>
        </w:rPr>
        <w:t>三、本年度部门决算等财务工作开展情况</w:t>
      </w:r>
    </w:p>
    <w:bookmarkEnd w:id="0"/>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已制定财务管理制度，绩效管理制度，安排专人按时完成决算编报工作，已审核通过。</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pPr>
        <w:snapToGrid w:val="0"/>
        <w:spacing w:line="520" w:lineRule="exact"/>
        <w:ind w:firstLine="640" w:firstLineChars="200"/>
        <w:rPr>
          <w:rFonts w:hint="default" w:ascii="Times New Roman" w:hAnsi="Times New Roman" w:eastAsia="仿宋_GB2312"/>
          <w:sz w:val="32"/>
          <w:szCs w:val="32"/>
        </w:rPr>
      </w:pPr>
      <w:r>
        <w:rPr>
          <w:rFonts w:hint="eastAsia" w:ascii="仿宋_GB2312" w:hAnsi="仿宋" w:eastAsia="仿宋_GB2312"/>
          <w:sz w:val="32"/>
          <w:szCs w:val="32"/>
        </w:rPr>
        <w:t>已完成决算公开和绩效评价等工作。</w:t>
      </w:r>
    </w:p>
    <w:p>
      <w:pPr>
        <w:autoSpaceDE w:val="0"/>
        <w:autoSpaceDN w:val="0"/>
        <w:adjustRightInd w:val="0"/>
        <w:jc w:val="left"/>
        <w:rPr>
          <w:rFonts w:hint="eastAsia" w:ascii="宋体" w:hAnsi="Times New Roman" w:cs="宋体"/>
          <w:kern w:val="0"/>
          <w:sz w:val="18"/>
          <w:szCs w:val="18"/>
          <w:lang w:val="zh-CN"/>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DE1NmYxNTQ2YWI2MGFjNDVkYWJiOGI2NTY2NjAifQ=="/>
  </w:docVars>
  <w:rsids>
    <w:rsidRoot w:val="00172A27"/>
    <w:rsid w:val="1C3334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eastAsia" w:ascii="Calibri" w:hAnsi="Calibri" w:eastAsia="宋体" w:cs="Times New Roman"/>
      <w:kern w:val="2"/>
      <w:sz w:val="21"/>
      <w:szCs w:val="22"/>
      <w:lang w:val="en-US" w:eastAsia="zh-CN" w:bidi="ar-SA"/>
    </w:rPr>
  </w:style>
  <w:style w:type="character" w:default="1" w:styleId="5">
    <w:name w:val="Default Paragraph Font"/>
    <w:unhideWhenUsed/>
    <w:uiPriority w:val="1"/>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hint="eastAsia"/>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hint="eastAsia"/>
      <w:sz w:val="18"/>
      <w:szCs w:val="18"/>
    </w:rPr>
  </w:style>
  <w:style w:type="character" w:customStyle="1" w:styleId="6">
    <w:name w:val="页眉 Char"/>
    <w:basedOn w:val="5"/>
    <w:link w:val="3"/>
    <w:unhideWhenUsed/>
    <w:locked/>
    <w:uiPriority w:val="99"/>
    <w:rPr>
      <w:rFonts w:hint="default" w:cs="Times New Roman"/>
      <w:sz w:val="18"/>
      <w:szCs w:val="18"/>
    </w:rPr>
  </w:style>
  <w:style w:type="character" w:customStyle="1" w:styleId="7">
    <w:name w:val="页脚 Char"/>
    <w:basedOn w:val="5"/>
    <w:link w:val="2"/>
    <w:unhideWhenUsed/>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2828</Words>
  <Characters>3028</Characters>
  <TotalTime>0</TotalTime>
  <ScaleCrop>false</ScaleCrop>
  <LinksUpToDate>false</LinksUpToDate>
  <CharactersWithSpaces>3031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2023-05-23T08:03:35Z</dcterms:created>
  <dc:creator>admin</dc:creator>
  <cp:lastModifiedBy>Q</cp:lastModifiedBy>
  <dcterms:modified xsi:type="dcterms:W3CDTF">2023-05-23T08:04:03Z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64CA579712674730A1E523E9FE3E5C4B_13</vt:lpwstr>
  </property>
</Properties>
</file>