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b w:val="0"/>
          <w:bCs w:val="0"/>
          <w:i w:val="0"/>
          <w:iCs w:val="0"/>
          <w:caps w:val="0"/>
          <w:color w:val="auto"/>
          <w:spacing w:val="0"/>
          <w:sz w:val="44"/>
          <w:szCs w:val="44"/>
        </w:rPr>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 </w:t>
      </w:r>
      <w:r>
        <w:rPr>
          <w:rFonts w:hint="eastAsia" w:ascii="黑体" w:hAnsi="黑体" w:eastAsia="黑体" w:cs="黑体"/>
          <w:b w:val="0"/>
          <w:bCs w:val="0"/>
          <w:i w:val="0"/>
          <w:iCs w:val="0"/>
          <w:caps w:val="0"/>
          <w:color w:val="auto"/>
          <w:spacing w:val="0"/>
          <w:sz w:val="44"/>
          <w:szCs w:val="44"/>
          <w:bdr w:val="none" w:color="auto" w:sz="0" w:space="0"/>
          <w:shd w:val="clear" w:fill="FFFFFF"/>
        </w:rPr>
        <w:t>沅江市文旅广体局2021年整体资金绩效评价报告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0"/>
        <w:jc w:val="left"/>
        <w:textAlignment w:val="auto"/>
        <w:rPr>
          <w:rFonts w:ascii="&amp;#65533;&amp;#65533;&amp;#65533;&amp;#65533;" w:hAnsi="&amp;#65533;&amp;#65533;&amp;#65533;&amp;#65533;" w:eastAsia="&amp;#65533;&amp;#65533;&amp;#65533;&amp;#65533;" w:cs="&amp;#65533;&amp;#65533;&amp;#65533;&amp;#65533;"/>
          <w:i w:val="0"/>
          <w:iCs w:val="0"/>
          <w:caps w:val="0"/>
          <w:color w:val="000000"/>
          <w:spacing w:val="0"/>
          <w:sz w:val="24"/>
          <w:szCs w:val="24"/>
        </w:rPr>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一、部门</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ascii="楷体" w:hAnsi="楷体" w:eastAsia="楷体" w:cs="楷体"/>
          <w:i w:val="0"/>
          <w:iCs w:val="0"/>
          <w:caps w:val="0"/>
          <w:color w:val="000000"/>
          <w:spacing w:val="0"/>
          <w:kern w:val="0"/>
          <w:sz w:val="32"/>
          <w:szCs w:val="32"/>
          <w:bdr w:val="none" w:color="auto" w:sz="0" w:space="0"/>
          <w:shd w:val="clear" w:fill="FFFFFF"/>
          <w:lang w:val="en-US" w:eastAsia="zh-CN" w:bidi="ar"/>
        </w:rPr>
        <w:t>（一）</w:t>
      </w: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机构设置情况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2021</w:t>
      </w: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年，由于机构改革，沅江市文化体育广电新闻出版局（旅游局）变更为沅江市文化旅游广电体育局，履行文化广电、体育、旅游管理职能，为沅江市人民政府的工作部门。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内设机构和二级机构分别是办公室、人事股、财务股、群文股、体育股、旅游股、法制股、文化馆、博物馆、图书馆、文化市场执法大队、全民服务健身中心。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（二）人员情况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2021年度年末实有人数46人，其中在职人员19人，退休人员27人。</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（三）主要工作职能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(1)贯彻执行党和国家关于文化艺术、文物博物、体育事业、广播电影电视和旅游各项方针政策和法律法规；贯彻执行党和国家宣传工作的方针政策。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(2) 制定全市文化艺术、文物博物、体育事业、广播电影电视和旅游的总体发展规划及分期实施计划，监督、指导、协调各类社会文化体育、广播电影电视和旅游的建设与发展。推进文化、体育和新闻出版（版权）领域以及广播电影电视体制机制改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(3) 负责全市文化艺术、文物博物、体育事业、广播电影电视、旅游发展的行政管理；市政府公布的有关文化、体育、广电、旅游的行政审批；负责对互联网上网营业场所实行经营许可和动漫、网络游戏以及全县广播电影电视节目、信息网络视听节目和公共视听载体播放的视听节目的审查监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(4) 指导文化市场综合执法工作，监督管理全县文化市场、体育产业经营活动市场及市场准入、市场监管，经营者的行业监督、指导、协调；保护文物(地面、地下、水下、馆藏等文物)，监管、清收社会流散文物。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(5) 组织领导全市广播电影电视科技工作，推进全县广播电影电视领域的公共服务，组织、实施、监管全县广播电影电视重点基础设施建设项目。负责全县广播电影电视节目传输、监测、安全播出和广播电影电视、信息网络视听节目服务机构的科研、技术改造和新技术推广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6) 组织指导各级各类群众文化艺术活动、体育活动（竞赛）和广播电影电视宣传和电视剧以及各艺术门类的创作活动；审查和指导全县民间文艺社团、文化(文物)、体育类民办非企业单位的申办和活动。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(7) 组织和管理全市文化艺术交流、理论研究活动，搜集、整理、存储文化史料，地方文献。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(8) 管理全市图书馆事业，指导图书文献资源的建设、开发和利用；组织推动图书馆网络化、标准化、现代化建设。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(9) 承办市委、市政府交办的其他事项。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二、部门整体支出管理及使用情况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（一）收入支出执行情况。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2021年年初预算收395.291万元，调整预算数999.235万元，其中财政拨款收入781.578万元（公共财政拨款681.578万元，政府基金拨款100万元）。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2021年年初预算支出395.291万元，调整预算数1679.86万元，决算支出1679.86万元。按支出项目分类，其中基本支出426.366万元，项目支1253.494万元，基本支出中人员经费287.553万元，日常公用经费138.812万元。按支出经济分类，其中工资福利支出273.564万元，商品和服务支出343.295万元，对个人和家庭的补助支出15.753万元，资本性补助0.81万元，对企业补助1046.430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（二）“三公”经费情况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2021年，“三公”经费完成7.07万元，其中全用于公务接待，主要是用于乡村文化旅游节、文化下乡、体育等活动的开展。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三、部门整体实现社会效益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（一）公共文化服务质效双赢。</w:t>
      </w: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我局各公共文化服务机构全年共开展文化活动387次，涵盖文艺演出、展览、培训、讲座、知识抢答多种活动形式，活动覆盖面广、社会影响力大；城区定期开展公益性文艺培训辅导工作，累计培训12000多人次，提高了全市群众文艺团体整体艺术水平；举办了2021年沅江市乡镇文化站长培训班、非遗培训班。在5.18“国际博物馆日”、4.23“世界读书日”、以及“文化与自然遗产日”等重要时间节点均开展了形式多样的活动。聚焦建党100周年红色主题，协助市委宣传部举办了“旗帜颂”沅江市大型群众歌咏比赛，来自全市19支合唱队、1000多人同台竞技，用歌声讴歌党，讴歌祖国、讴歌人民；举办了庆祝中国共产党成立100周年“颂党恩、政协情、沅江美”征稿活动，征集诗歌、书法、美术、摄影等作品1100件，评选优秀作品240件；“月月乐”群众文化活动覆盖老同志、青年、学生、群众等群体，社会反响热烈；开展了“深入生活、扎根人民”主题创作活动，创作大型舞蹈史诗《红色追寻》参加了由益阳市政协、益阳市委宣传部主办的庆祝中国共产党成立100周年“永远跟党走——颂党恩、政协情、益阳美”文艺晚会，获得好评。积极参加省市组织的重大艺术展演，落实“湖南省公共文化进村入户.戏曲进乡村”文化惠民项目实施。建立健全了全市非遗项目名录和传承人认定机制。开展了省级非遗代表性项目保护单位检查和调整工作。完成了第八批市级非遗代表性项目申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（二）文化广电市场环境持续净化。</w:t>
      </w: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全年市文化市场综合行政执法大队通过文化市场执法监管与服务平台完成在线巡查1728次，在线立案查处案件32件，办结28件，无行政复议和行政诉讼案件。开展了“扫黄打非·正道2021”“扫黄打非·新风2021”“扫黄打非护苗2021”等专项行动。在全市范围内开展有害政治性有害出版物清查4批次；对全市KTV娱乐场所使用的歌库进行了逐一检查，在2家KTV歌库发现违禁歌曲3首，对其进行了警告和责令删除，目前均明确了专人对歌库定时进行清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取缔“黑广播”播出点两处；针对大型宾馆、单位私设“小前端”专项整治，大型宾馆暂未发现私设“小前端”的行为。坚持每季度开展非法“卫星锅”整治行动，全年检查门店200多家次，宾馆60多家次，企事业单位20多家次。开展广播电视安全播出专项检查2次，开展车载、楼宇、户外电子显示屏集中整治行动2次；开展“黑广播”专项整治行动2次，办理非法使用卫星地面接收设施案件1件，查获涉嫌擅自开设广播电台（站）即“黑广播”4起，有力打击了广电领域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（三）文旅洽谈、文旅考察马不停蹄，文旅项目、文旅产业抓紧跟进。</w:t>
      </w: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全年对接邀请北京、浙江、江苏、上海、湖南等省内外知名文旅相关企业（集团、公司）来沅考察调研51批次。进行文化兴市考察，形成了《沅江市文旅考察组外出学习考察报告》。举办了“洞庭乡愁三眼塘红色旅游基地”奠基仪式，“洞庭乡愁三眼塘”被授予沅江市红色旅游基地。举办了“重走青年毛泽东游学社会调查之路启动仪式”系列活动，协办了民心综合产业园第三届“民心三月桃花节”。开展全域旅游发展规划编制、南洞庭湖精品旅游线路打造、青年毛泽东游学三眼塘红色文化咨询策划等前期准备工作。三眼塘“洞庭乡愁”项目初步完成了游船打造、玫瑰花升级改造、民宿升级、道路绿化和红色旅游标识牌建设，以及红色旅游基地规划编制。新湾“商圣小镇”建设完成了文化广场、旅游标识牌等建设，成功申报2021年湖南省旅游发展专项资金。参加了“2021西安丝绸之路国际旅游博览会”，推出的南洞庭湖生态湿地旅游精品线路，以及沅江芦笋、沅江芦菇、亿昌麻香糕、辣妹子桔片爽等南洞庭湖特色产品，有力地推介了沅江。组织文旅企业参加了“湖南省春季乡村旅游节”、“2021年湖南省红色文化旅游节”、“湖南省旅游产业博览会”；组织我市旅游商品生产企业参加了“（长沙）食参会”、“中国中部（长沙）农博会”。举办了沅江市2021年秋收冬种农民技能大赛系列活动。</w:t>
      </w:r>
      <w:r>
        <w:rPr>
          <w:rFonts w:hint="default" w:ascii="仿宋_GB2312" w:hAnsi="&amp;#65533;&amp;#65533;&amp;#65533;&amp;#65533;" w:eastAsia="仿宋_GB2312" w:cs="仿宋_GB2312"/>
          <w:b w:val="0"/>
          <w:bCs w:val="0"/>
          <w:i w:val="0"/>
          <w:iCs w:val="0"/>
          <w:caps w:val="0"/>
          <w:color w:val="000000"/>
          <w:spacing w:val="0"/>
          <w:kern w:val="0"/>
          <w:sz w:val="32"/>
          <w:szCs w:val="32"/>
          <w:bdr w:val="none" w:color="auto" w:sz="0" w:space="0"/>
          <w:shd w:val="clear" w:fill="FFFFFF"/>
          <w:lang w:val="en-US" w:eastAsia="zh-CN" w:bidi="ar"/>
        </w:rPr>
        <w:t>积极对接发改、益阳市局，积极上报项目，开展了市区体育产业企业摸底调查，我市洞庭乡愁三眼塘、新湾商圣小镇、渔民新村等项已纳入湖南省文旅重点项目库，入选省级重大项目库。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（四）体育事业蓬勃发展。</w:t>
      </w: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体育场馆建设方面，沅江五环体育全民健身中心项目于4月份正式签约，我局作为牵头单位正抓紧推进征地拆迁入户调查工作。积极组队参加益阳市第21届大众运动会的18个体育项目，其中女子门球获得团体冠军；沅江万大赛艇俱乐部组队参加2021桂林赛艇大师赛，喜获中国桂林平乐赛艇大师赛四金一银一铜；10月14日，沅江市业余体校选派8名优秀青少年选手参加由湖南省体育局湖南省教育厅举办的2021年湖南省青少年摔跤锦标赛，勇夺2金。9月份，指导和支持沅江市茶盘洲幸福港社区迎国庆文艺会员暨趣味运动会；10月份，组队参加2021年湘乡市象棋邀请赛；丰富多彩的文体活动充分展示了沅江全民健身风貌，营造了浓厚的全民健身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四、</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部门整体绩效情况分析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为做好2021年预算资金绩效分析，沅江市文旅广体局组织各相关股室和二级机构人员，通过查阅凭证、查看业务资料、调取财务报表等方式，认真对照《2021年沅江市部门整体支出绩效评价指标表》开展自评，我局在“投入”、“过程”、“产出”、“效果”等方面都执行较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bdr w:val="none" w:color="auto" w:sz="0" w:space="0"/>
          <w:shd w:val="clear" w:fill="FFFFFF"/>
          <w:lang w:val="en-US" w:eastAsia="zh-CN" w:bidi="ar"/>
        </w:rPr>
        <w:t>本单位2021年度整体支出资金管理和分配都比较合理，资金拨付及时，资金使用合规，无截留、挪用、闲置现象，财务核算规范、资料齐全。对干部职工而言，工资和福利得到了及时发放，生活有了保障，维护了社会的稳定。对全市文化、文化艺术、广播电视、新闻出版、著作权管理和体育以及旅游工作而言，规范了全市文化、文化艺术、广播电视、体育以及旅游市场秩序，为全市的经济增长做出了一定的贡献，取得了良好的社会效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五、存在的问题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333333"/>
          <w:spacing w:val="0"/>
          <w:sz w:val="32"/>
          <w:szCs w:val="32"/>
          <w:bdr w:val="none" w:color="auto" w:sz="0" w:space="0"/>
          <w:shd w:val="clear" w:fill="FFFFFF"/>
        </w:rPr>
        <w:t>年初预算在上一年度编制上报，对次年经费的测算不能完整反映，且县财政在年初批复预算时是根据县级财力安排，出现预算编制不完整、经费预算不足部分及特殊事项通过预算追加，造成预算执行结果与年初预算有较大偏差等现象；预算执行过程中风险点排查不够仔细、全面，单位内部控制制度完善但执行不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六、改进措施及有关建议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atLeast"/>
        <w:ind w:left="0" w:right="0" w:firstLine="64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333333"/>
          <w:spacing w:val="0"/>
          <w:kern w:val="0"/>
          <w:sz w:val="32"/>
          <w:szCs w:val="32"/>
          <w:bdr w:val="none" w:color="auto" w:sz="0" w:space="0"/>
          <w:shd w:val="clear" w:fill="FFFFFF"/>
          <w:lang w:val="en-US" w:eastAsia="zh-CN" w:bidi="ar"/>
        </w:rPr>
        <w:t>进一步加强预算编制的前瞻性，按照新《预算法》及其实施条例的相关规定，结合本单位的发展规划、上一年度预算执行情况和本年度预算收支变化因素，尽可能地科学、合理编制本年预算草案，避免年初预算与实际执行出现较大偏差的情况；加强预算执行管理，执行中确需调剂预算的，按规定程序报经批准；加强预算绩效管理机制，不断完善内部控制，在努力实现审计监督全覆盖的同时，提高财政资金使用效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65533;&amp;#65533;&amp;#65533;&amp;#6553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WMxMjNlNzEyNjQ3MjVmNjVjMzEwYzMwZjQwYjkifQ=="/>
  </w:docVars>
  <w:rsids>
    <w:rsidRoot w:val="00000000"/>
    <w:rsid w:val="2A06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3824</Words>
  <Characters>4057</Characters>
  <Lines>0</Lines>
  <Paragraphs>0</Paragraphs>
  <TotalTime>1</TotalTime>
  <ScaleCrop>false</ScaleCrop>
  <LinksUpToDate>false</LinksUpToDate>
  <CharactersWithSpaces>4065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2023-05-25T08:44:18Z</dcterms:created>
  <dc:creator>Administrator</dc:creator>
  <cp:lastModifiedBy>默默smile</cp:lastModifiedBy>
  <dcterms:modified xsi:type="dcterms:W3CDTF">2023-05-25T08:46:05Z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37B804D111FD4428A510FA69CF80FA35_12</vt:lpwstr>
  </property>
</Properties>
</file>