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eastAsia="黑体"/>
          <w:sz w:val="32"/>
          <w:szCs w:val="32"/>
        </w:rPr>
      </w:pPr>
      <w:r>
        <w:rPr>
          <w:rFonts w:hint="eastAsia" w:eastAsia="黑体"/>
          <w:sz w:val="32"/>
          <w:szCs w:val="32"/>
        </w:rPr>
        <w:t>附件</w:t>
      </w:r>
      <w:r>
        <w:rPr>
          <w:rFonts w:eastAsia="黑体"/>
          <w:sz w:val="32"/>
          <w:szCs w:val="32"/>
        </w:rPr>
        <w:t>2</w:t>
      </w:r>
    </w:p>
    <w:p>
      <w:pPr>
        <w:adjustRightInd w:val="0"/>
        <w:snapToGrid w:val="0"/>
        <w:contextualSpacing/>
        <w:jc w:val="center"/>
        <w:rPr>
          <w:rFonts w:eastAsia="方正小标宋_GBK"/>
          <w:color w:val="000000" w:themeColor="text1"/>
          <w:sz w:val="36"/>
          <w:szCs w:val="36"/>
          <w14:textFill>
            <w14:solidFill>
              <w14:schemeClr w14:val="tx1"/>
            </w14:solidFill>
          </w14:textFill>
        </w:rPr>
      </w:pPr>
    </w:p>
    <w:p>
      <w:pPr>
        <w:adjustRightInd w:val="0"/>
        <w:snapToGrid w:val="0"/>
        <w:contextualSpacing/>
        <w:jc w:val="center"/>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lang w:eastAsia="zh-CN"/>
          <w14:textFill>
            <w14:solidFill>
              <w14:schemeClr w14:val="tx1"/>
            </w14:solidFill>
          </w14:textFill>
        </w:rPr>
        <w:t>沅江市</w:t>
      </w:r>
      <w:r>
        <w:rPr>
          <w:rFonts w:ascii="方正小标宋简体" w:eastAsia="方正小标宋简体"/>
          <w:color w:val="000000" w:themeColor="text1"/>
          <w:sz w:val="44"/>
          <w:szCs w:val="44"/>
          <w14:textFill>
            <w14:solidFill>
              <w14:schemeClr w14:val="tx1"/>
            </w14:solidFill>
          </w14:textFill>
        </w:rPr>
        <w:t>2021</w:t>
      </w:r>
      <w:r>
        <w:rPr>
          <w:rFonts w:hint="eastAsia" w:ascii="方正小标宋简体" w:eastAsia="方正小标宋简体"/>
          <w:color w:val="000000" w:themeColor="text1"/>
          <w:sz w:val="44"/>
          <w:szCs w:val="44"/>
          <w14:textFill>
            <w14:solidFill>
              <w14:schemeClr w14:val="tx1"/>
            </w14:solidFill>
          </w14:textFill>
        </w:rPr>
        <w:t>年度教育综合发展专项资金绩效</w:t>
      </w:r>
      <w:r>
        <w:rPr>
          <w:rFonts w:hint="eastAsia" w:ascii="方正小标宋简体" w:eastAsia="方正小标宋简体"/>
          <w:color w:val="000000" w:themeColor="text1"/>
          <w:sz w:val="44"/>
          <w:szCs w:val="44"/>
          <w:lang w:val="en-US" w:eastAsia="zh-CN"/>
          <w14:textFill>
            <w14:solidFill>
              <w14:schemeClr w14:val="tx1"/>
            </w14:solidFill>
          </w14:textFill>
        </w:rPr>
        <w:t xml:space="preserve"> </w:t>
      </w:r>
      <w:r>
        <w:rPr>
          <w:rFonts w:hint="eastAsia" w:ascii="方正小标宋简体" w:eastAsia="方正小标宋简体"/>
          <w:color w:val="000000" w:themeColor="text1"/>
          <w:sz w:val="44"/>
          <w:szCs w:val="44"/>
          <w14:textFill>
            <w14:solidFill>
              <w14:schemeClr w14:val="tx1"/>
            </w14:solidFill>
          </w14:textFill>
        </w:rPr>
        <w:t>自评报告</w:t>
      </w:r>
    </w:p>
    <w:p>
      <w:pPr>
        <w:spacing w:line="550" w:lineRule="exact"/>
        <w:ind w:firstLine="640" w:firstLineChars="200"/>
        <w:rPr>
          <w:rFonts w:eastAsia="黑体"/>
          <w:sz w:val="32"/>
          <w:szCs w:val="32"/>
        </w:rPr>
      </w:pPr>
    </w:p>
    <w:p>
      <w:pPr>
        <w:adjustRightInd w:val="0"/>
        <w:snapToGrid w:val="0"/>
        <w:spacing w:line="600" w:lineRule="exact"/>
        <w:ind w:firstLine="640" w:firstLineChars="200"/>
        <w:rPr>
          <w:rFonts w:eastAsia="黑体"/>
          <w:sz w:val="32"/>
          <w:szCs w:val="32"/>
        </w:rPr>
      </w:pPr>
      <w:bookmarkStart w:id="0" w:name="_Toc1786253243_WPSOffice_Level1"/>
      <w:bookmarkStart w:id="1" w:name="_Toc2067989074_WPSOffice_Level1"/>
      <w:bookmarkStart w:id="2" w:name="_Toc1009351454_WPSOffice_Level1"/>
      <w:bookmarkStart w:id="3" w:name="_Toc314718734_WPSOffice_Level1"/>
      <w:bookmarkStart w:id="4" w:name="_Toc406603516_WPSOffice_Level1"/>
      <w:bookmarkStart w:id="5" w:name="_Toc1064580933_WPSOffice_Level1"/>
      <w:r>
        <w:rPr>
          <w:rFonts w:hint="eastAsia" w:eastAsia="黑体"/>
          <w:sz w:val="32"/>
          <w:szCs w:val="32"/>
        </w:rPr>
        <w:t>一、项目概况</w:t>
      </w:r>
      <w:bookmarkEnd w:id="0"/>
      <w:bookmarkEnd w:id="1"/>
      <w:bookmarkEnd w:id="2"/>
      <w:bookmarkEnd w:id="3"/>
      <w:bookmarkEnd w:id="4"/>
      <w:bookmarkEnd w:id="5"/>
    </w:p>
    <w:p>
      <w:pPr>
        <w:numPr>
          <w:ilvl w:val="0"/>
          <w:numId w:val="0"/>
        </w:numPr>
        <w:adjustRightInd w:val="0"/>
        <w:snapToGrid w:val="0"/>
        <w:spacing w:line="600" w:lineRule="exact"/>
        <w:ind w:firstLine="320" w:firstLineChars="100"/>
        <w:rPr>
          <w:rFonts w:hint="eastAsia" w:eastAsia="仿宋_GB2312"/>
          <w:sz w:val="32"/>
          <w:szCs w:val="32"/>
        </w:rPr>
      </w:pPr>
      <w:r>
        <w:rPr>
          <w:rFonts w:hint="eastAsia" w:eastAsia="仿宋_GB2312"/>
          <w:sz w:val="32"/>
          <w:szCs w:val="32"/>
        </w:rPr>
        <w:t>（一）项目实施单位基本情况</w:t>
      </w:r>
      <w:r>
        <w:rPr>
          <w:rFonts w:hint="eastAsia" w:eastAsia="仿宋_GB2312"/>
          <w:sz w:val="32"/>
          <w:szCs w:val="32"/>
          <w:lang w:eastAsia="zh-CN"/>
        </w:rPr>
        <w:t>、</w:t>
      </w:r>
      <w:r>
        <w:rPr>
          <w:rFonts w:hint="eastAsia" w:eastAsia="仿宋_GB2312"/>
          <w:sz w:val="32"/>
          <w:szCs w:val="32"/>
        </w:rPr>
        <w:t>项目资金基本情况包括预算资金基本性质、用途和主要内容、涉及范围等。</w:t>
      </w:r>
    </w:p>
    <w:p>
      <w:pPr>
        <w:pStyle w:val="2"/>
        <w:rPr>
          <w:rFonts w:hint="eastAsia" w:eastAsia="仿宋_GB2312"/>
          <w:sz w:val="32"/>
          <w:szCs w:val="32"/>
        </w:rPr>
      </w:pPr>
      <w:r>
        <w:rPr>
          <w:rFonts w:hint="eastAsia"/>
          <w:sz w:val="32"/>
          <w:szCs w:val="32"/>
          <w:lang w:eastAsia="zh-CN"/>
        </w:rPr>
        <w:t>下列专项资金财政均以一般公共预算资金下达。</w:t>
      </w:r>
    </w:p>
    <w:tbl>
      <w:tblPr>
        <w:tblStyle w:val="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18"/>
        <w:gridCol w:w="2206"/>
        <w:gridCol w:w="2118"/>
        <w:gridCol w:w="207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项目内容</w:t>
            </w:r>
          </w:p>
        </w:tc>
        <w:tc>
          <w:tcPr>
            <w:tcW w:w="2206"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上级指标文号</w:t>
            </w:r>
          </w:p>
        </w:tc>
        <w:tc>
          <w:tcPr>
            <w:tcW w:w="2118"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金额（万元）</w:t>
            </w:r>
          </w:p>
        </w:tc>
        <w:tc>
          <w:tcPr>
            <w:tcW w:w="2074" w:type="dxa"/>
          </w:tcPr>
          <w:p>
            <w:pPr>
              <w:adjustRightInd w:val="0"/>
              <w:snapToGrid w:val="0"/>
              <w:spacing w:line="600" w:lineRule="exact"/>
              <w:jc w:val="center"/>
              <w:rPr>
                <w:rFonts w:eastAsia="仿宋_GB2312"/>
                <w:kern w:val="0"/>
                <w:sz w:val="32"/>
                <w:szCs w:val="32"/>
              </w:rPr>
            </w:pPr>
            <w:r>
              <w:rPr>
                <w:rFonts w:hint="eastAsia" w:eastAsia="仿宋_GB2312"/>
                <w:kern w:val="0"/>
                <w:sz w:val="32"/>
                <w:szCs w:val="32"/>
              </w:rPr>
              <w:t>分配单位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w:t>
            </w:r>
            <w:r>
              <w:rPr>
                <w:rFonts w:hint="eastAsia" w:eastAsia="仿宋_GB2312"/>
                <w:kern w:val="0"/>
                <w:sz w:val="32"/>
                <w:szCs w:val="32"/>
                <w:lang w:eastAsia="zh-CN"/>
              </w:rPr>
              <w:t>二</w:t>
            </w:r>
            <w:r>
              <w:rPr>
                <w:rFonts w:hint="eastAsia" w:eastAsia="仿宋_GB2312"/>
                <w:kern w:val="0"/>
                <w:sz w:val="32"/>
                <w:szCs w:val="32"/>
              </w:rPr>
              <w:t>批教育综合发展专项（</w:t>
            </w:r>
            <w:r>
              <w:rPr>
                <w:rFonts w:hint="eastAsia" w:eastAsia="仿宋_GB2312"/>
                <w:kern w:val="0"/>
                <w:sz w:val="32"/>
                <w:szCs w:val="32"/>
                <w:lang w:eastAsia="zh-CN"/>
              </w:rPr>
              <w:t>校园足球体卫艺及国防教育</w:t>
            </w:r>
            <w:r>
              <w:rPr>
                <w:rFonts w:hint="eastAsia" w:eastAsia="仿宋_GB2312"/>
                <w:kern w:val="0"/>
                <w:sz w:val="32"/>
                <w:szCs w:val="32"/>
              </w:rPr>
              <w:t>）</w:t>
            </w:r>
          </w:p>
        </w:tc>
        <w:tc>
          <w:tcPr>
            <w:tcW w:w="2206" w:type="dxa"/>
          </w:tcPr>
          <w:p>
            <w:pPr>
              <w:adjustRightInd w:val="0"/>
              <w:snapToGrid w:val="0"/>
              <w:spacing w:line="600" w:lineRule="exact"/>
              <w:jc w:val="center"/>
              <w:rPr>
                <w:rFonts w:hint="eastAsia" w:eastAsia="仿宋_GB2312"/>
                <w:kern w:val="0"/>
                <w:sz w:val="32"/>
                <w:szCs w:val="32"/>
              </w:rPr>
            </w:pPr>
          </w:p>
          <w:p>
            <w:pPr>
              <w:adjustRightInd w:val="0"/>
              <w:snapToGrid w:val="0"/>
              <w:spacing w:line="600" w:lineRule="exact"/>
              <w:jc w:val="both"/>
              <w:rPr>
                <w:rFonts w:eastAsia="仿宋_GB2312"/>
                <w:kern w:val="0"/>
                <w:sz w:val="32"/>
                <w:szCs w:val="32"/>
              </w:rPr>
            </w:pPr>
            <w:r>
              <w:rPr>
                <w:rFonts w:hint="eastAsia" w:eastAsia="仿宋_GB2312"/>
                <w:kern w:val="0"/>
                <w:sz w:val="32"/>
                <w:szCs w:val="32"/>
              </w:rPr>
              <w:t>湘财教指【2020】</w:t>
            </w:r>
            <w:r>
              <w:rPr>
                <w:rFonts w:hint="eastAsia" w:eastAsia="仿宋_GB2312"/>
                <w:kern w:val="0"/>
                <w:sz w:val="32"/>
                <w:szCs w:val="32"/>
                <w:lang w:val="en-US" w:eastAsia="zh-CN"/>
              </w:rPr>
              <w:t>96</w:t>
            </w:r>
            <w:r>
              <w:rPr>
                <w:rFonts w:hint="eastAsia" w:eastAsia="仿宋_GB2312"/>
                <w:kern w:val="0"/>
                <w:sz w:val="32"/>
                <w:szCs w:val="32"/>
              </w:rPr>
              <w:t>号</w:t>
            </w:r>
          </w:p>
        </w:tc>
        <w:tc>
          <w:tcPr>
            <w:tcW w:w="2118" w:type="dxa"/>
          </w:tcPr>
          <w:p>
            <w:pPr>
              <w:adjustRightInd w:val="0"/>
              <w:snapToGrid w:val="0"/>
              <w:spacing w:line="600" w:lineRule="exact"/>
              <w:jc w:val="center"/>
              <w:rPr>
                <w:rFonts w:hint="eastAsia" w:eastAsia="仿宋_GB2312"/>
                <w:kern w:val="0"/>
                <w:sz w:val="32"/>
                <w:szCs w:val="32"/>
              </w:rPr>
            </w:pPr>
          </w:p>
          <w:p>
            <w:pPr>
              <w:adjustRightInd w:val="0"/>
              <w:snapToGrid w:val="0"/>
              <w:spacing w:line="600" w:lineRule="exact"/>
              <w:jc w:val="center"/>
              <w:rPr>
                <w:rFonts w:hint="eastAsia" w:eastAsia="仿宋_GB2312"/>
                <w:kern w:val="0"/>
                <w:sz w:val="32"/>
                <w:szCs w:val="32"/>
              </w:rPr>
            </w:pPr>
          </w:p>
          <w:p>
            <w:pPr>
              <w:adjustRightInd w:val="0"/>
              <w:snapToGrid w:val="0"/>
              <w:spacing w:line="600" w:lineRule="exact"/>
              <w:jc w:val="center"/>
              <w:rPr>
                <w:rFonts w:eastAsia="仿宋_GB2312"/>
                <w:kern w:val="0"/>
                <w:sz w:val="32"/>
                <w:szCs w:val="32"/>
              </w:rPr>
            </w:pPr>
            <w:r>
              <w:rPr>
                <w:rFonts w:hint="eastAsia" w:eastAsia="仿宋_GB2312"/>
                <w:kern w:val="0"/>
                <w:sz w:val="32"/>
                <w:szCs w:val="32"/>
              </w:rPr>
              <w:t>22</w:t>
            </w:r>
          </w:p>
        </w:tc>
        <w:tc>
          <w:tcPr>
            <w:tcW w:w="2074" w:type="dxa"/>
          </w:tcPr>
          <w:p>
            <w:pPr>
              <w:adjustRightInd w:val="0"/>
              <w:snapToGrid w:val="0"/>
              <w:spacing w:line="600" w:lineRule="exact"/>
              <w:jc w:val="center"/>
              <w:rPr>
                <w:rFonts w:hint="eastAsia" w:eastAsia="仿宋_GB2312"/>
                <w:kern w:val="0"/>
                <w:sz w:val="32"/>
                <w:szCs w:val="32"/>
                <w:lang w:eastAsia="zh-CN"/>
              </w:rPr>
            </w:pPr>
          </w:p>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eastAsia="zh-CN"/>
              </w:rPr>
              <w:t>下达到</w:t>
            </w:r>
            <w:r>
              <w:rPr>
                <w:rFonts w:hint="eastAsia" w:eastAsia="仿宋_GB2312"/>
                <w:kern w:val="0"/>
                <w:sz w:val="32"/>
                <w:szCs w:val="32"/>
                <w:lang w:val="en-US" w:eastAsia="zh-CN"/>
              </w:rPr>
              <w:t>8校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w:t>
            </w:r>
            <w:r>
              <w:rPr>
                <w:rFonts w:hint="eastAsia" w:eastAsia="仿宋_GB2312"/>
                <w:kern w:val="0"/>
                <w:sz w:val="32"/>
                <w:szCs w:val="32"/>
                <w:lang w:eastAsia="zh-CN"/>
              </w:rPr>
              <w:t>六</w:t>
            </w:r>
            <w:r>
              <w:rPr>
                <w:rFonts w:hint="eastAsia" w:eastAsia="仿宋_GB2312"/>
                <w:kern w:val="0"/>
                <w:sz w:val="32"/>
                <w:szCs w:val="32"/>
              </w:rPr>
              <w:t>批教育综合发展专项（</w:t>
            </w:r>
            <w:r>
              <w:rPr>
                <w:rFonts w:hint="eastAsia" w:eastAsia="仿宋_GB2312"/>
                <w:kern w:val="0"/>
                <w:sz w:val="32"/>
                <w:szCs w:val="32"/>
                <w:lang w:eastAsia="zh-CN"/>
              </w:rPr>
              <w:t>校园足球体卫艺及国防教育</w:t>
            </w:r>
            <w:r>
              <w:rPr>
                <w:rFonts w:hint="eastAsia" w:eastAsia="仿宋_GB2312"/>
                <w:kern w:val="0"/>
                <w:sz w:val="32"/>
                <w:szCs w:val="32"/>
              </w:rPr>
              <w:t>）</w:t>
            </w:r>
          </w:p>
        </w:tc>
        <w:tc>
          <w:tcPr>
            <w:tcW w:w="2206" w:type="dxa"/>
          </w:tcPr>
          <w:p>
            <w:pPr>
              <w:adjustRightInd w:val="0"/>
              <w:snapToGrid w:val="0"/>
              <w:spacing w:line="600" w:lineRule="exact"/>
              <w:rPr>
                <w:rFonts w:hint="eastAsia" w:eastAsia="仿宋_GB2312"/>
                <w:kern w:val="0"/>
                <w:sz w:val="32"/>
                <w:szCs w:val="32"/>
              </w:rPr>
            </w:pPr>
          </w:p>
          <w:p>
            <w:pPr>
              <w:adjustRightInd w:val="0"/>
              <w:snapToGrid w:val="0"/>
              <w:spacing w:line="600" w:lineRule="exact"/>
              <w:rPr>
                <w:rFonts w:eastAsia="仿宋_GB2312"/>
                <w:kern w:val="0"/>
                <w:sz w:val="32"/>
                <w:szCs w:val="32"/>
              </w:rPr>
            </w:pPr>
            <w:r>
              <w:rPr>
                <w:rFonts w:hint="eastAsia" w:eastAsia="仿宋_GB2312"/>
                <w:kern w:val="0"/>
                <w:sz w:val="32"/>
                <w:szCs w:val="32"/>
              </w:rPr>
              <w:t>湘财教指【202</w:t>
            </w:r>
            <w:r>
              <w:rPr>
                <w:rFonts w:hint="eastAsia" w:eastAsia="仿宋_GB2312"/>
                <w:kern w:val="0"/>
                <w:sz w:val="32"/>
                <w:szCs w:val="32"/>
                <w:lang w:val="en-US" w:eastAsia="zh-CN"/>
              </w:rPr>
              <w:t>1</w:t>
            </w:r>
            <w:r>
              <w:rPr>
                <w:rFonts w:hint="eastAsia" w:eastAsia="仿宋_GB2312"/>
                <w:kern w:val="0"/>
                <w:sz w:val="32"/>
                <w:szCs w:val="32"/>
              </w:rPr>
              <w:t>】</w:t>
            </w:r>
            <w:r>
              <w:rPr>
                <w:rFonts w:hint="eastAsia" w:eastAsia="仿宋_GB2312"/>
                <w:kern w:val="0"/>
                <w:sz w:val="32"/>
                <w:szCs w:val="32"/>
                <w:lang w:val="en-US" w:eastAsia="zh-CN"/>
              </w:rPr>
              <w:t>32</w:t>
            </w:r>
            <w:r>
              <w:rPr>
                <w:rFonts w:hint="eastAsia" w:eastAsia="仿宋_GB2312"/>
                <w:kern w:val="0"/>
                <w:sz w:val="32"/>
                <w:szCs w:val="32"/>
              </w:rPr>
              <w:t>号</w:t>
            </w:r>
          </w:p>
        </w:tc>
        <w:tc>
          <w:tcPr>
            <w:tcW w:w="2118" w:type="dxa"/>
          </w:tcPr>
          <w:p>
            <w:pPr>
              <w:adjustRightInd w:val="0"/>
              <w:snapToGrid w:val="0"/>
              <w:spacing w:line="600" w:lineRule="exact"/>
              <w:jc w:val="both"/>
              <w:rPr>
                <w:rFonts w:hint="eastAsia" w:eastAsia="仿宋_GB2312"/>
                <w:kern w:val="0"/>
                <w:sz w:val="32"/>
                <w:szCs w:val="32"/>
              </w:rPr>
            </w:pPr>
          </w:p>
          <w:p>
            <w:pPr>
              <w:adjustRightInd w:val="0"/>
              <w:snapToGrid w:val="0"/>
              <w:spacing w:line="600" w:lineRule="exact"/>
              <w:jc w:val="both"/>
              <w:rPr>
                <w:rFonts w:hint="eastAsia" w:eastAsia="仿宋_GB2312"/>
                <w:kern w:val="0"/>
                <w:sz w:val="32"/>
                <w:szCs w:val="32"/>
              </w:rPr>
            </w:pPr>
          </w:p>
          <w:p>
            <w:pPr>
              <w:adjustRightInd w:val="0"/>
              <w:snapToGrid w:val="0"/>
              <w:spacing w:line="600" w:lineRule="exact"/>
              <w:ind w:firstLine="960" w:firstLineChars="300"/>
              <w:jc w:val="both"/>
              <w:rPr>
                <w:rFonts w:hint="default" w:eastAsia="仿宋_GB2312"/>
                <w:kern w:val="0"/>
                <w:sz w:val="32"/>
                <w:szCs w:val="32"/>
                <w:lang w:val="en-US" w:eastAsia="zh-CN"/>
              </w:rPr>
            </w:pPr>
            <w:r>
              <w:rPr>
                <w:rFonts w:hint="eastAsia" w:eastAsia="仿宋_GB2312"/>
                <w:kern w:val="0"/>
                <w:sz w:val="32"/>
                <w:szCs w:val="32"/>
                <w:lang w:val="en-US" w:eastAsia="zh-CN"/>
              </w:rPr>
              <w:t>18</w:t>
            </w:r>
          </w:p>
        </w:tc>
        <w:tc>
          <w:tcPr>
            <w:tcW w:w="2074" w:type="dxa"/>
          </w:tcPr>
          <w:p>
            <w:pPr>
              <w:adjustRightInd w:val="0"/>
              <w:snapToGrid w:val="0"/>
              <w:spacing w:line="600" w:lineRule="exact"/>
              <w:rPr>
                <w:rFonts w:hint="eastAsia" w:eastAsia="仿宋_GB2312"/>
                <w:kern w:val="0"/>
                <w:sz w:val="32"/>
                <w:szCs w:val="32"/>
                <w:lang w:eastAsia="zh-CN"/>
              </w:rPr>
            </w:pPr>
          </w:p>
          <w:p>
            <w:pPr>
              <w:adjustRightInd w:val="0"/>
              <w:snapToGrid w:val="0"/>
              <w:spacing w:line="600" w:lineRule="exact"/>
              <w:rPr>
                <w:rFonts w:hint="eastAsia" w:eastAsia="仿宋_GB2312"/>
                <w:kern w:val="0"/>
                <w:sz w:val="32"/>
                <w:szCs w:val="32"/>
                <w:lang w:eastAsia="zh-CN"/>
              </w:rPr>
            </w:pPr>
          </w:p>
          <w:p>
            <w:pPr>
              <w:adjustRightInd w:val="0"/>
              <w:snapToGrid w:val="0"/>
              <w:spacing w:line="600" w:lineRule="exact"/>
              <w:rPr>
                <w:rFonts w:hint="default" w:eastAsia="仿宋_GB2312"/>
                <w:kern w:val="0"/>
                <w:sz w:val="32"/>
                <w:szCs w:val="32"/>
                <w:lang w:val="en-US" w:eastAsia="zh-CN"/>
              </w:rPr>
            </w:pPr>
            <w:r>
              <w:rPr>
                <w:rFonts w:hint="eastAsia" w:eastAsia="仿宋_GB2312"/>
                <w:kern w:val="0"/>
                <w:sz w:val="32"/>
                <w:szCs w:val="32"/>
                <w:lang w:eastAsia="zh-CN"/>
              </w:rPr>
              <w:t>下达到</w:t>
            </w:r>
            <w:r>
              <w:rPr>
                <w:rFonts w:hint="eastAsia" w:eastAsia="仿宋_GB2312"/>
                <w:kern w:val="0"/>
                <w:sz w:val="32"/>
                <w:szCs w:val="32"/>
                <w:lang w:val="en-US" w:eastAsia="zh-CN"/>
              </w:rPr>
              <w:t>5校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第三批教育综合发展专项</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w:t>
            </w:r>
            <w:r>
              <w:rPr>
                <w:rFonts w:hint="eastAsia" w:eastAsia="仿宋_GB2312"/>
                <w:kern w:val="0"/>
                <w:sz w:val="32"/>
                <w:szCs w:val="32"/>
                <w:lang w:val="en-US" w:eastAsia="zh-CN"/>
              </w:rPr>
              <w:t>97</w:t>
            </w:r>
            <w:r>
              <w:rPr>
                <w:rFonts w:hint="eastAsia" w:eastAsia="仿宋_GB2312"/>
                <w:kern w:val="0"/>
                <w:sz w:val="32"/>
                <w:szCs w:val="32"/>
              </w:rPr>
              <w:t>号</w:t>
            </w:r>
          </w:p>
        </w:tc>
        <w:tc>
          <w:tcPr>
            <w:tcW w:w="2118" w:type="dxa"/>
          </w:tcPr>
          <w:p>
            <w:pPr>
              <w:adjustRightInd w:val="0"/>
              <w:snapToGrid w:val="0"/>
              <w:spacing w:line="600" w:lineRule="exact"/>
              <w:jc w:val="center"/>
            </w:pPr>
          </w:p>
          <w:p>
            <w:pPr>
              <w:pStyle w:val="2"/>
              <w:rPr>
                <w:rFonts w:hint="default" w:eastAsia="仿宋_GB2312"/>
                <w:kern w:val="0"/>
                <w:lang w:val="en-US" w:eastAsia="zh-CN"/>
              </w:rPr>
            </w:pPr>
            <w:r>
              <w:rPr>
                <w:rFonts w:hint="eastAsia" w:eastAsia="仿宋_GB2312"/>
                <w:kern w:val="0"/>
                <w:lang w:val="en-US" w:eastAsia="zh-CN"/>
              </w:rPr>
              <w:t xml:space="preserve"> </w:t>
            </w:r>
            <w:r>
              <w:rPr>
                <w:rFonts w:hint="eastAsia" w:ascii="Times New Roman" w:hAnsi="Times New Roman" w:eastAsia="仿宋_GB2312" w:cs="Times New Roman"/>
                <w:kern w:val="0"/>
                <w:sz w:val="32"/>
                <w:szCs w:val="32"/>
                <w:lang w:val="en-US" w:eastAsia="zh-CN" w:bidi="ar-SA"/>
              </w:rPr>
              <w:t xml:space="preserve"> 5</w:t>
            </w:r>
          </w:p>
        </w:tc>
        <w:tc>
          <w:tcPr>
            <w:tcW w:w="2074" w:type="dxa"/>
          </w:tcPr>
          <w:p>
            <w:pPr>
              <w:adjustRightInd w:val="0"/>
              <w:snapToGrid w:val="0"/>
              <w:spacing w:line="600" w:lineRule="exact"/>
              <w:jc w:val="left"/>
              <w:rPr>
                <w:rFonts w:hint="eastAsia" w:eastAsia="仿宋_GB2312"/>
                <w:kern w:val="0"/>
                <w:sz w:val="32"/>
                <w:szCs w:val="32"/>
                <w:lang w:eastAsia="zh-CN"/>
              </w:rPr>
            </w:pPr>
          </w:p>
          <w:p>
            <w:pPr>
              <w:adjustRightInd w:val="0"/>
              <w:snapToGrid w:val="0"/>
              <w:spacing w:line="600" w:lineRule="exact"/>
              <w:jc w:val="left"/>
              <w:rPr>
                <w:rFonts w:hint="eastAsia" w:eastAsia="仿宋_GB2312"/>
                <w:kern w:val="0"/>
                <w:sz w:val="32"/>
                <w:szCs w:val="32"/>
                <w:lang w:eastAsia="zh-CN"/>
              </w:rPr>
            </w:pPr>
            <w:r>
              <w:rPr>
                <w:rFonts w:hint="eastAsia" w:eastAsia="仿宋_GB2312"/>
                <w:kern w:val="0"/>
                <w:sz w:val="32"/>
                <w:szCs w:val="32"/>
                <w:lang w:eastAsia="zh-CN"/>
              </w:rPr>
              <w:t>阳罗中心小学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第四批教育综合发展专项（</w:t>
            </w:r>
            <w:r>
              <w:rPr>
                <w:rFonts w:hint="eastAsia" w:eastAsia="仿宋_GB2312"/>
                <w:kern w:val="0"/>
                <w:sz w:val="32"/>
                <w:szCs w:val="32"/>
                <w:lang w:eastAsia="zh-CN"/>
              </w:rPr>
              <w:t>省级教师培训</w:t>
            </w:r>
            <w:r>
              <w:rPr>
                <w:rFonts w:hint="eastAsia" w:eastAsia="仿宋_GB2312"/>
                <w:kern w:val="0"/>
                <w:sz w:val="32"/>
                <w:szCs w:val="32"/>
              </w:rPr>
              <w:t>）</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湘财教指【2020】</w:t>
            </w:r>
            <w:r>
              <w:rPr>
                <w:rFonts w:hint="eastAsia" w:eastAsia="仿宋_GB2312"/>
                <w:kern w:val="0"/>
                <w:sz w:val="32"/>
                <w:szCs w:val="32"/>
                <w:lang w:val="en-US" w:eastAsia="zh-CN"/>
              </w:rPr>
              <w:t>98</w:t>
            </w:r>
            <w:r>
              <w:rPr>
                <w:rFonts w:hint="eastAsia" w:eastAsia="仿宋_GB2312"/>
                <w:kern w:val="0"/>
                <w:sz w:val="32"/>
                <w:szCs w:val="32"/>
              </w:rPr>
              <w:t>号</w:t>
            </w:r>
          </w:p>
        </w:tc>
        <w:tc>
          <w:tcPr>
            <w:tcW w:w="2118" w:type="dxa"/>
          </w:tcPr>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val="en-US" w:eastAsia="zh-CN"/>
              </w:rPr>
              <w:t>10</w:t>
            </w:r>
          </w:p>
        </w:tc>
        <w:tc>
          <w:tcPr>
            <w:tcW w:w="2074" w:type="dxa"/>
          </w:tcPr>
          <w:p>
            <w:pPr>
              <w:adjustRightInd w:val="0"/>
              <w:snapToGrid w:val="0"/>
              <w:spacing w:line="600" w:lineRule="exact"/>
              <w:rPr>
                <w:rFonts w:hint="eastAsia" w:eastAsia="仿宋_GB2312"/>
                <w:kern w:val="0"/>
                <w:sz w:val="32"/>
                <w:szCs w:val="32"/>
                <w:lang w:eastAsia="zh-CN"/>
              </w:rPr>
            </w:pPr>
            <w:r>
              <w:rPr>
                <w:rFonts w:hint="eastAsia" w:eastAsia="仿宋_GB2312"/>
                <w:kern w:val="0"/>
                <w:sz w:val="32"/>
                <w:szCs w:val="32"/>
                <w:lang w:eastAsia="zh-CN"/>
              </w:rPr>
              <w:t>胭脂湖中心小学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第</w:t>
            </w:r>
            <w:r>
              <w:rPr>
                <w:rFonts w:hint="eastAsia" w:eastAsia="仿宋_GB2312"/>
                <w:kern w:val="0"/>
                <w:sz w:val="32"/>
                <w:szCs w:val="32"/>
                <w:lang w:eastAsia="zh-CN"/>
              </w:rPr>
              <w:t>七</w:t>
            </w:r>
            <w:r>
              <w:rPr>
                <w:rFonts w:hint="eastAsia" w:eastAsia="仿宋_GB2312"/>
                <w:kern w:val="0"/>
                <w:sz w:val="32"/>
                <w:szCs w:val="32"/>
              </w:rPr>
              <w:t>批教育综合发展专项（省级老师培训）</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w:t>
            </w:r>
            <w:r>
              <w:rPr>
                <w:rFonts w:hint="eastAsia" w:eastAsia="仿宋_GB2312"/>
                <w:kern w:val="0"/>
                <w:sz w:val="32"/>
                <w:szCs w:val="32"/>
                <w:lang w:val="en-US" w:eastAsia="zh-CN"/>
              </w:rPr>
              <w:t>1</w:t>
            </w:r>
            <w:r>
              <w:rPr>
                <w:rFonts w:hint="eastAsia" w:eastAsia="仿宋_GB2312"/>
                <w:kern w:val="0"/>
                <w:sz w:val="32"/>
                <w:szCs w:val="32"/>
              </w:rPr>
              <w:t>】</w:t>
            </w:r>
            <w:r>
              <w:rPr>
                <w:rFonts w:hint="eastAsia" w:eastAsia="仿宋_GB2312"/>
                <w:kern w:val="0"/>
                <w:sz w:val="32"/>
                <w:szCs w:val="32"/>
                <w:lang w:val="en-US" w:eastAsia="zh-CN"/>
              </w:rPr>
              <w:t>38</w:t>
            </w:r>
            <w:r>
              <w:rPr>
                <w:rFonts w:hint="eastAsia" w:eastAsia="仿宋_GB2312"/>
                <w:kern w:val="0"/>
                <w:sz w:val="32"/>
                <w:szCs w:val="32"/>
              </w:rPr>
              <w:t>号</w:t>
            </w:r>
          </w:p>
        </w:tc>
        <w:tc>
          <w:tcPr>
            <w:tcW w:w="2118" w:type="dxa"/>
          </w:tcPr>
          <w:p>
            <w:pPr>
              <w:adjustRightInd w:val="0"/>
              <w:snapToGrid w:val="0"/>
              <w:spacing w:line="600" w:lineRule="exact"/>
              <w:jc w:val="center"/>
              <w:rPr>
                <w:rFonts w:hint="eastAsia" w:eastAsia="仿宋_GB2312"/>
                <w:kern w:val="0"/>
                <w:sz w:val="32"/>
                <w:szCs w:val="32"/>
                <w:lang w:val="en-US" w:eastAsia="zh-CN"/>
              </w:rPr>
            </w:pPr>
          </w:p>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val="en-US" w:eastAsia="zh-CN"/>
              </w:rPr>
              <w:t>24</w:t>
            </w:r>
          </w:p>
        </w:tc>
        <w:tc>
          <w:tcPr>
            <w:tcW w:w="2074" w:type="dxa"/>
          </w:tcPr>
          <w:p>
            <w:pPr>
              <w:adjustRightInd w:val="0"/>
              <w:snapToGrid w:val="0"/>
              <w:spacing w:line="600" w:lineRule="exact"/>
            </w:pPr>
          </w:p>
          <w:p>
            <w:pPr>
              <w:pStyle w:val="2"/>
              <w:rPr>
                <w:rFonts w:eastAsia="仿宋_GB2312"/>
                <w:kern w:val="0"/>
                <w:sz w:val="32"/>
                <w:szCs w:val="32"/>
              </w:rPr>
            </w:pPr>
          </w:p>
          <w:p>
            <w:pPr>
              <w:pStyle w:val="2"/>
              <w:ind w:left="0" w:leftChars="0" w:firstLine="0" w:firstLineChars="0"/>
              <w:rPr>
                <w:rFonts w:hint="eastAsia" w:eastAsia="仿宋_GB2312"/>
                <w:kern w:val="0"/>
                <w:sz w:val="32"/>
                <w:szCs w:val="32"/>
                <w:lang w:eastAsia="zh-CN"/>
              </w:rPr>
            </w:pPr>
            <w:r>
              <w:rPr>
                <w:rFonts w:hint="eastAsia" w:eastAsia="仿宋_GB2312"/>
                <w:kern w:val="0"/>
                <w:sz w:val="32"/>
                <w:szCs w:val="32"/>
                <w:lang w:eastAsia="zh-CN"/>
              </w:rPr>
              <w:t>教师进修学校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hint="default" w:eastAsia="仿宋_GB2312"/>
                <w:kern w:val="0"/>
                <w:sz w:val="32"/>
                <w:szCs w:val="32"/>
                <w:lang w:val="en-US" w:eastAsia="zh-CN"/>
              </w:rPr>
            </w:pPr>
            <w:r>
              <w:rPr>
                <w:rFonts w:hint="eastAsia" w:eastAsia="仿宋_GB2312"/>
                <w:kern w:val="0"/>
                <w:sz w:val="32"/>
                <w:szCs w:val="32"/>
                <w:lang w:val="en-US" w:eastAsia="zh-CN"/>
              </w:rPr>
              <w:t>2021年教育支出资金</w:t>
            </w:r>
          </w:p>
        </w:tc>
        <w:tc>
          <w:tcPr>
            <w:tcW w:w="2206" w:type="dxa"/>
          </w:tcPr>
          <w:p>
            <w:pPr>
              <w:adjustRightInd w:val="0"/>
              <w:snapToGrid w:val="0"/>
              <w:spacing w:line="600" w:lineRule="exact"/>
              <w:rPr>
                <w:rFonts w:eastAsia="仿宋_GB2312"/>
                <w:kern w:val="0"/>
                <w:sz w:val="32"/>
                <w:szCs w:val="32"/>
              </w:rPr>
            </w:pPr>
            <w:r>
              <w:rPr>
                <w:rFonts w:hint="eastAsia" w:eastAsia="仿宋_GB2312"/>
                <w:kern w:val="0"/>
                <w:sz w:val="32"/>
                <w:szCs w:val="32"/>
              </w:rPr>
              <w:t>湘财教指【202</w:t>
            </w:r>
            <w:r>
              <w:rPr>
                <w:rFonts w:hint="eastAsia" w:eastAsia="仿宋_GB2312"/>
                <w:kern w:val="0"/>
                <w:sz w:val="32"/>
                <w:szCs w:val="32"/>
                <w:lang w:val="en-US" w:eastAsia="zh-CN"/>
              </w:rPr>
              <w:t>1</w:t>
            </w:r>
            <w:r>
              <w:rPr>
                <w:rFonts w:hint="eastAsia" w:eastAsia="仿宋_GB2312"/>
                <w:kern w:val="0"/>
                <w:sz w:val="32"/>
                <w:szCs w:val="32"/>
              </w:rPr>
              <w:t>】</w:t>
            </w:r>
            <w:r>
              <w:rPr>
                <w:rFonts w:hint="eastAsia" w:eastAsia="仿宋_GB2312"/>
                <w:kern w:val="0"/>
                <w:sz w:val="32"/>
                <w:szCs w:val="32"/>
                <w:lang w:val="en-US" w:eastAsia="zh-CN"/>
              </w:rPr>
              <w:t>50</w:t>
            </w:r>
            <w:r>
              <w:rPr>
                <w:rFonts w:hint="eastAsia" w:eastAsia="仿宋_GB2312"/>
                <w:kern w:val="0"/>
                <w:sz w:val="32"/>
                <w:szCs w:val="32"/>
              </w:rPr>
              <w:t>号</w:t>
            </w:r>
          </w:p>
        </w:tc>
        <w:tc>
          <w:tcPr>
            <w:tcW w:w="2118" w:type="dxa"/>
          </w:tcPr>
          <w:p>
            <w:pPr>
              <w:adjustRightInd w:val="0"/>
              <w:snapToGrid w:val="0"/>
              <w:spacing w:line="600" w:lineRule="exact"/>
              <w:jc w:val="center"/>
              <w:rPr>
                <w:rFonts w:hint="eastAsia" w:eastAsia="仿宋_GB2312"/>
                <w:kern w:val="0"/>
                <w:sz w:val="32"/>
                <w:szCs w:val="32"/>
                <w:lang w:val="en-US" w:eastAsia="zh-CN"/>
              </w:rPr>
            </w:pPr>
          </w:p>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val="en-US" w:eastAsia="zh-CN"/>
              </w:rPr>
              <w:t>97</w:t>
            </w:r>
          </w:p>
        </w:tc>
        <w:tc>
          <w:tcPr>
            <w:tcW w:w="2074" w:type="dxa"/>
          </w:tcPr>
          <w:p>
            <w:pPr>
              <w:adjustRightInd w:val="0"/>
              <w:snapToGrid w:val="0"/>
              <w:spacing w:line="600" w:lineRule="exact"/>
              <w:rPr>
                <w:rFonts w:hint="default" w:eastAsia="仿宋_GB2312"/>
                <w:kern w:val="0"/>
                <w:sz w:val="32"/>
                <w:szCs w:val="32"/>
                <w:lang w:val="en-US" w:eastAsia="zh-CN"/>
              </w:rPr>
            </w:pPr>
            <w:r>
              <w:rPr>
                <w:rFonts w:hint="eastAsia" w:eastAsia="仿宋_GB2312"/>
                <w:kern w:val="0"/>
                <w:sz w:val="32"/>
                <w:szCs w:val="32"/>
                <w:lang w:eastAsia="zh-CN"/>
              </w:rPr>
              <w:t>下达到</w:t>
            </w:r>
            <w:r>
              <w:rPr>
                <w:rFonts w:hint="eastAsia" w:eastAsia="仿宋_GB2312"/>
                <w:kern w:val="0"/>
                <w:sz w:val="32"/>
                <w:szCs w:val="32"/>
                <w:lang w:val="en-US" w:eastAsia="zh-CN"/>
              </w:rPr>
              <w:t>11校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hint="default" w:eastAsia="仿宋_GB2312"/>
                <w:kern w:val="0"/>
                <w:sz w:val="32"/>
                <w:szCs w:val="32"/>
                <w:lang w:val="en-US" w:eastAsia="zh-CN"/>
              </w:rPr>
            </w:pPr>
            <w:r>
              <w:rPr>
                <w:rFonts w:hint="eastAsia" w:eastAsia="仿宋_GB2312"/>
                <w:kern w:val="0"/>
                <w:sz w:val="32"/>
                <w:szCs w:val="32"/>
                <w:lang w:val="en-US" w:eastAsia="zh-CN"/>
              </w:rPr>
              <w:t>2021年三区教师计划选派工作含银龄计划</w:t>
            </w:r>
          </w:p>
        </w:tc>
        <w:tc>
          <w:tcPr>
            <w:tcW w:w="2206" w:type="dxa"/>
          </w:tcPr>
          <w:p>
            <w:pPr>
              <w:adjustRightInd w:val="0"/>
              <w:snapToGrid w:val="0"/>
              <w:spacing w:line="600" w:lineRule="exact"/>
              <w:rPr>
                <w:rFonts w:hint="eastAsia" w:eastAsia="仿宋_GB2312"/>
                <w:kern w:val="0"/>
                <w:sz w:val="32"/>
                <w:szCs w:val="32"/>
                <w:lang w:eastAsia="zh-CN"/>
              </w:rPr>
            </w:pPr>
            <w:r>
              <w:rPr>
                <w:rFonts w:hint="eastAsia" w:eastAsia="仿宋_GB2312"/>
                <w:kern w:val="0"/>
                <w:sz w:val="32"/>
                <w:szCs w:val="32"/>
              </w:rPr>
              <w:t>湘财</w:t>
            </w:r>
            <w:r>
              <w:rPr>
                <w:rFonts w:hint="eastAsia" w:eastAsia="仿宋_GB2312"/>
                <w:kern w:val="0"/>
                <w:sz w:val="32"/>
                <w:szCs w:val="32"/>
                <w:lang w:eastAsia="zh-CN"/>
              </w:rPr>
              <w:t>预</w:t>
            </w:r>
            <w:r>
              <w:rPr>
                <w:rFonts w:hint="eastAsia" w:eastAsia="仿宋_GB2312"/>
                <w:kern w:val="0"/>
                <w:sz w:val="32"/>
                <w:szCs w:val="32"/>
              </w:rPr>
              <w:t>【2020】</w:t>
            </w:r>
            <w:r>
              <w:rPr>
                <w:rFonts w:hint="eastAsia" w:eastAsia="仿宋_GB2312"/>
                <w:kern w:val="0"/>
                <w:sz w:val="32"/>
                <w:szCs w:val="32"/>
                <w:lang w:val="en-US" w:eastAsia="zh-CN"/>
              </w:rPr>
              <w:t>359</w:t>
            </w:r>
            <w:r>
              <w:rPr>
                <w:rFonts w:hint="eastAsia" w:eastAsia="仿宋_GB2312"/>
                <w:kern w:val="0"/>
                <w:sz w:val="32"/>
                <w:szCs w:val="32"/>
              </w:rPr>
              <w:t>号</w:t>
            </w:r>
            <w:r>
              <w:rPr>
                <w:rFonts w:hint="eastAsia" w:eastAsia="仿宋_GB2312"/>
                <w:kern w:val="0"/>
                <w:sz w:val="32"/>
                <w:szCs w:val="32"/>
                <w:lang w:eastAsia="zh-CN"/>
              </w:rPr>
              <w:t>、</w:t>
            </w:r>
            <w:r>
              <w:rPr>
                <w:rFonts w:hint="eastAsia" w:eastAsia="仿宋_GB2312"/>
                <w:kern w:val="0"/>
                <w:sz w:val="32"/>
                <w:szCs w:val="32"/>
              </w:rPr>
              <w:t>湘财</w:t>
            </w:r>
            <w:r>
              <w:rPr>
                <w:rFonts w:hint="eastAsia" w:eastAsia="仿宋_GB2312"/>
                <w:kern w:val="0"/>
                <w:sz w:val="32"/>
                <w:szCs w:val="32"/>
                <w:lang w:eastAsia="zh-CN"/>
              </w:rPr>
              <w:t>预</w:t>
            </w:r>
            <w:r>
              <w:rPr>
                <w:rFonts w:hint="eastAsia" w:eastAsia="仿宋_GB2312"/>
                <w:kern w:val="0"/>
                <w:sz w:val="32"/>
                <w:szCs w:val="32"/>
              </w:rPr>
              <w:t>【202</w:t>
            </w:r>
            <w:r>
              <w:rPr>
                <w:rFonts w:hint="eastAsia" w:eastAsia="仿宋_GB2312"/>
                <w:kern w:val="0"/>
                <w:sz w:val="32"/>
                <w:szCs w:val="32"/>
                <w:lang w:val="en-US" w:eastAsia="zh-CN"/>
              </w:rPr>
              <w:t>1</w:t>
            </w:r>
            <w:r>
              <w:rPr>
                <w:rFonts w:hint="eastAsia" w:eastAsia="仿宋_GB2312"/>
                <w:kern w:val="0"/>
                <w:sz w:val="32"/>
                <w:szCs w:val="32"/>
              </w:rPr>
              <w:t>】</w:t>
            </w:r>
            <w:r>
              <w:rPr>
                <w:rFonts w:hint="eastAsia" w:eastAsia="仿宋_GB2312"/>
                <w:kern w:val="0"/>
                <w:sz w:val="32"/>
                <w:szCs w:val="32"/>
                <w:lang w:val="en-US" w:eastAsia="zh-CN"/>
              </w:rPr>
              <w:t>73</w:t>
            </w:r>
            <w:r>
              <w:rPr>
                <w:rFonts w:hint="eastAsia" w:eastAsia="仿宋_GB2312"/>
                <w:kern w:val="0"/>
                <w:sz w:val="32"/>
                <w:szCs w:val="32"/>
              </w:rPr>
              <w:t>号</w:t>
            </w:r>
          </w:p>
        </w:tc>
        <w:tc>
          <w:tcPr>
            <w:tcW w:w="2118" w:type="dxa"/>
          </w:tcPr>
          <w:p>
            <w:pPr>
              <w:adjustRightInd w:val="0"/>
              <w:snapToGrid w:val="0"/>
              <w:spacing w:line="600" w:lineRule="exact"/>
              <w:jc w:val="center"/>
              <w:rPr>
                <w:rFonts w:hint="eastAsia" w:eastAsia="仿宋_GB2312"/>
                <w:kern w:val="0"/>
                <w:sz w:val="32"/>
                <w:szCs w:val="32"/>
                <w:lang w:val="en-US" w:eastAsia="zh-CN"/>
              </w:rPr>
            </w:pPr>
          </w:p>
          <w:p>
            <w:pPr>
              <w:adjustRightInd w:val="0"/>
              <w:snapToGrid w:val="0"/>
              <w:spacing w:line="600" w:lineRule="exact"/>
              <w:jc w:val="center"/>
              <w:rPr>
                <w:rFonts w:hint="eastAsia" w:eastAsia="仿宋_GB2312"/>
                <w:kern w:val="0"/>
                <w:sz w:val="32"/>
                <w:szCs w:val="32"/>
                <w:lang w:val="en-US" w:eastAsia="zh-CN"/>
              </w:rPr>
            </w:pPr>
          </w:p>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val="en-US" w:eastAsia="zh-CN"/>
              </w:rPr>
              <w:t>32</w:t>
            </w:r>
          </w:p>
        </w:tc>
        <w:tc>
          <w:tcPr>
            <w:tcW w:w="2074" w:type="dxa"/>
          </w:tcPr>
          <w:p>
            <w:pPr>
              <w:adjustRightInd w:val="0"/>
              <w:snapToGrid w:val="0"/>
              <w:spacing w:line="600" w:lineRule="exact"/>
              <w:rPr>
                <w:rFonts w:hint="eastAsia" w:eastAsia="仿宋_GB2312"/>
                <w:kern w:val="0"/>
                <w:sz w:val="32"/>
                <w:szCs w:val="32"/>
                <w:lang w:eastAsia="zh-CN"/>
              </w:rPr>
            </w:pPr>
          </w:p>
          <w:p>
            <w:pPr>
              <w:adjustRightInd w:val="0"/>
              <w:snapToGrid w:val="0"/>
              <w:spacing w:line="600" w:lineRule="exact"/>
              <w:ind w:firstLine="320" w:firstLineChars="100"/>
              <w:rPr>
                <w:rFonts w:hint="default" w:eastAsia="仿宋_GB2312"/>
                <w:kern w:val="0"/>
                <w:sz w:val="32"/>
                <w:szCs w:val="32"/>
                <w:lang w:val="en-US" w:eastAsia="zh-CN"/>
              </w:rPr>
            </w:pPr>
            <w:r>
              <w:rPr>
                <w:rFonts w:hint="eastAsia" w:eastAsia="仿宋_GB2312"/>
                <w:kern w:val="0"/>
                <w:sz w:val="32"/>
                <w:szCs w:val="32"/>
                <w:lang w:eastAsia="zh-CN"/>
              </w:rPr>
              <w:t>教育局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tcPr>
          <w:p>
            <w:pPr>
              <w:adjustRightInd w:val="0"/>
              <w:snapToGrid w:val="0"/>
              <w:spacing w:line="600" w:lineRule="exact"/>
              <w:rPr>
                <w:rFonts w:eastAsia="仿宋_GB2312"/>
                <w:kern w:val="0"/>
                <w:sz w:val="32"/>
                <w:szCs w:val="32"/>
              </w:rPr>
            </w:pPr>
            <w:r>
              <w:rPr>
                <w:rFonts w:hint="eastAsia" w:eastAsia="仿宋_GB2312"/>
                <w:kern w:val="0"/>
                <w:sz w:val="32"/>
                <w:szCs w:val="32"/>
              </w:rPr>
              <w:t>合计</w:t>
            </w:r>
          </w:p>
        </w:tc>
        <w:tc>
          <w:tcPr>
            <w:tcW w:w="2206" w:type="dxa"/>
          </w:tcPr>
          <w:p>
            <w:pPr>
              <w:adjustRightInd w:val="0"/>
              <w:snapToGrid w:val="0"/>
              <w:spacing w:line="600" w:lineRule="exact"/>
              <w:rPr>
                <w:rFonts w:eastAsia="仿宋_GB2312"/>
                <w:kern w:val="0"/>
                <w:sz w:val="32"/>
                <w:szCs w:val="32"/>
              </w:rPr>
            </w:pPr>
          </w:p>
        </w:tc>
        <w:tc>
          <w:tcPr>
            <w:tcW w:w="2118" w:type="dxa"/>
          </w:tcPr>
          <w:p>
            <w:pPr>
              <w:adjustRightInd w:val="0"/>
              <w:snapToGrid w:val="0"/>
              <w:spacing w:line="600" w:lineRule="exact"/>
              <w:jc w:val="center"/>
              <w:rPr>
                <w:rFonts w:hint="default" w:eastAsia="仿宋_GB2312"/>
                <w:kern w:val="0"/>
                <w:sz w:val="32"/>
                <w:szCs w:val="32"/>
                <w:lang w:val="en-US" w:eastAsia="zh-CN"/>
              </w:rPr>
            </w:pPr>
            <w:r>
              <w:rPr>
                <w:rFonts w:hint="eastAsia" w:eastAsia="仿宋_GB2312"/>
                <w:kern w:val="0"/>
                <w:sz w:val="32"/>
                <w:szCs w:val="32"/>
                <w:lang w:val="en-US" w:eastAsia="zh-CN"/>
              </w:rPr>
              <w:t>208</w:t>
            </w:r>
          </w:p>
        </w:tc>
        <w:tc>
          <w:tcPr>
            <w:tcW w:w="2074" w:type="dxa"/>
          </w:tcPr>
          <w:p>
            <w:pPr>
              <w:adjustRightInd w:val="0"/>
              <w:snapToGrid w:val="0"/>
              <w:spacing w:line="600" w:lineRule="exact"/>
              <w:rPr>
                <w:rFonts w:eastAsia="仿宋_GB2312"/>
                <w:kern w:val="0"/>
                <w:sz w:val="32"/>
                <w:szCs w:val="32"/>
              </w:rPr>
            </w:pPr>
          </w:p>
        </w:tc>
      </w:tr>
    </w:tbl>
    <w:p>
      <w:pPr>
        <w:pStyle w:val="2"/>
        <w:numPr>
          <w:ilvl w:val="0"/>
          <w:numId w:val="0"/>
        </w:numPr>
      </w:pPr>
    </w:p>
    <w:p>
      <w:pPr>
        <w:numPr>
          <w:ilvl w:val="0"/>
          <w:numId w:val="1"/>
        </w:numPr>
        <w:adjustRightInd w:val="0"/>
        <w:snapToGrid w:val="0"/>
        <w:spacing w:line="600" w:lineRule="exact"/>
        <w:ind w:firstLine="640" w:firstLineChars="200"/>
        <w:rPr>
          <w:rFonts w:hint="eastAsia" w:eastAsia="仿宋_GB2312"/>
          <w:sz w:val="32"/>
          <w:szCs w:val="32"/>
        </w:rPr>
      </w:pPr>
      <w:r>
        <w:rPr>
          <w:rFonts w:hint="eastAsia" w:eastAsia="仿宋_GB2312"/>
          <w:sz w:val="32"/>
          <w:szCs w:val="32"/>
        </w:rPr>
        <w:t>项目资金绩效目标，包括总体目标和年度目标。</w:t>
      </w:r>
    </w:p>
    <w:p>
      <w:pPr>
        <w:pStyle w:val="2"/>
        <w:numPr>
          <w:ilvl w:val="0"/>
          <w:numId w:val="2"/>
        </w:numPr>
        <w:ind w:firstLine="640" w:firstLineChars="200"/>
        <w:rPr>
          <w:rFonts w:hint="eastAsia" w:eastAsia="仿宋_GB2312"/>
          <w:sz w:val="32"/>
          <w:szCs w:val="32"/>
        </w:rPr>
      </w:pPr>
      <w:r>
        <w:rPr>
          <w:rFonts w:hint="eastAsia" w:eastAsia="仿宋_GB2312"/>
          <w:sz w:val="32"/>
          <w:szCs w:val="32"/>
          <w:lang w:eastAsia="zh-CN"/>
        </w:rPr>
        <w:t>校园足球项目是</w:t>
      </w:r>
      <w:r>
        <w:rPr>
          <w:rFonts w:hint="eastAsia" w:eastAsia="仿宋_GB2312"/>
          <w:sz w:val="32"/>
          <w:szCs w:val="32"/>
        </w:rPr>
        <w:t>将足球（包括足球文化、足球技能、足球训练等）引入教学，以培养青少年的足球兴趣为重点，让学生的快乐足球中强身健体，锻炼意志品质，在发挥个人天赋的同时培养团队意识和顽强拼搏的精神。</w:t>
      </w:r>
    </w:p>
    <w:p>
      <w:pPr>
        <w:adjustRightInd w:val="0"/>
        <w:snapToGrid w:val="0"/>
        <w:spacing w:line="600" w:lineRule="exact"/>
        <w:ind w:firstLine="640" w:firstLineChars="200"/>
        <w:rPr>
          <w:rFonts w:hint="eastAsia" w:eastAsia="仿宋_GB2312"/>
          <w:sz w:val="32"/>
          <w:szCs w:val="32"/>
          <w:lang w:val="en-US" w:eastAsia="zh-CN"/>
        </w:rPr>
      </w:pPr>
      <w:r>
        <w:rPr>
          <w:rFonts w:hint="eastAsia" w:eastAsia="仿宋_GB2312"/>
          <w:sz w:val="32"/>
          <w:szCs w:val="32"/>
          <w:lang w:val="en-US" w:eastAsia="zh-CN"/>
        </w:rPr>
        <w:t>2、安全文明校园项目主要是改善学校基础设施条件，有化化解学校的安全隐患现象，解决学校校园内存在的安全问题。</w:t>
      </w:r>
    </w:p>
    <w:p>
      <w:pPr>
        <w:adjustRightInd w:val="0"/>
        <w:snapToGrid w:val="0"/>
        <w:spacing w:line="600" w:lineRule="exact"/>
        <w:ind w:firstLine="640" w:firstLineChars="200"/>
        <w:rPr>
          <w:rFonts w:eastAsia="仿宋_GB2312"/>
          <w:sz w:val="32"/>
          <w:szCs w:val="32"/>
        </w:rPr>
      </w:pPr>
      <w:r>
        <w:rPr>
          <w:rFonts w:hint="eastAsia" w:eastAsia="仿宋_GB2312"/>
          <w:sz w:val="32"/>
          <w:szCs w:val="32"/>
          <w:lang w:val="en-US" w:eastAsia="zh-CN"/>
        </w:rPr>
        <w:t>3、培训专项采取混合研修</w:t>
      </w:r>
      <w:r>
        <w:rPr>
          <w:rFonts w:hint="eastAsia" w:eastAsia="仿宋_GB2312"/>
          <w:sz w:val="32"/>
          <w:szCs w:val="32"/>
        </w:rPr>
        <w:t>、送教下乡、专家指导、校本研修等方式，对我省乡村中小学幼儿园教师尤其是贫困地区教师进行专业化培训，完</w:t>
      </w:r>
      <w:bookmarkStart w:id="66" w:name="_GoBack"/>
      <w:bookmarkEnd w:id="66"/>
      <w:r>
        <w:rPr>
          <w:rFonts w:hint="eastAsia" w:eastAsia="仿宋_GB2312"/>
          <w:sz w:val="32"/>
          <w:szCs w:val="32"/>
        </w:rPr>
        <w:t>善乡村教师常态化培训体制机制。</w:t>
      </w:r>
    </w:p>
    <w:p>
      <w:pPr>
        <w:adjustRightInd w:val="0"/>
        <w:snapToGrid w:val="0"/>
        <w:spacing w:line="600" w:lineRule="exact"/>
        <w:ind w:firstLine="640" w:firstLineChars="20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4、教育支出专项支持经济欠发达乡镇教育工作，缩小农村薄弱学校与城区学校之间基本办学条件的差距，扩大市区优质教育资源，扎实推进教育现代化学校</w:t>
      </w:r>
      <w:r>
        <w:rPr>
          <w:rFonts w:hint="eastAsia" w:eastAsia="仿宋_GB2312" w:cs="Times New Roman"/>
          <w:kern w:val="2"/>
          <w:sz w:val="32"/>
          <w:szCs w:val="32"/>
          <w:lang w:val="en-US" w:eastAsia="zh-CN" w:bidi="ar-SA"/>
        </w:rPr>
        <w:t>信息化</w:t>
      </w:r>
      <w:r>
        <w:rPr>
          <w:rFonts w:hint="eastAsia" w:ascii="Times New Roman" w:hAnsi="Times New Roman" w:eastAsia="仿宋_GB2312" w:cs="Times New Roman"/>
          <w:kern w:val="2"/>
          <w:sz w:val="32"/>
          <w:szCs w:val="32"/>
          <w:lang w:val="en-US" w:eastAsia="zh-CN" w:bidi="ar-SA"/>
        </w:rPr>
        <w:t>建设，推进教育均衡发展。</w:t>
      </w:r>
    </w:p>
    <w:p>
      <w:pPr>
        <w:adjustRightInd w:val="0"/>
        <w:snapToGrid w:val="0"/>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eastAsia" w:eastAsia="仿宋_GB2312"/>
          <w:sz w:val="32"/>
          <w:szCs w:val="32"/>
          <w:lang w:val="en-US" w:eastAsia="zh-CN"/>
        </w:rPr>
        <w:t>5、三区支教及银龄计划专项计划是推动教育精准扶贫，推进校长教师交流轮岗的重要措</w:t>
      </w:r>
      <w:r>
        <w:rPr>
          <w:rFonts w:hint="eastAsia" w:ascii="Times New Roman" w:hAnsi="Times New Roman" w:eastAsia="仿宋_GB2312" w:cs="Times New Roman"/>
          <w:kern w:val="2"/>
          <w:sz w:val="32"/>
          <w:szCs w:val="32"/>
          <w:lang w:val="en-US" w:eastAsia="zh-CN" w:bidi="ar-SA"/>
        </w:rPr>
        <w:t>施，让优秀退休教师，继续发挥自己的政治优势、经验优势和专业优势，助力学校提升立德树人、队伍建设和科研创新的能力，援派教师工作以课程教学、教学指导、课题研究、团队建设指导为主，短期授课、远程教育、同步课堂、学术讲座（报告）为辅，采取传、帮、带的方式，指导受援学校教师做好教学和科研工作，把先进教学方法和科研理念传授给受援学校教师。</w:t>
      </w:r>
    </w:p>
    <w:p>
      <w:pPr>
        <w:adjustRightInd w:val="0"/>
        <w:snapToGrid w:val="0"/>
        <w:spacing w:line="600" w:lineRule="exact"/>
        <w:ind w:firstLine="640" w:firstLineChars="200"/>
        <w:rPr>
          <w:rFonts w:eastAsia="黑体"/>
          <w:sz w:val="32"/>
          <w:szCs w:val="32"/>
        </w:rPr>
      </w:pPr>
      <w:bookmarkStart w:id="6" w:name="_Toc1196559725_WPSOffice_Level1"/>
      <w:bookmarkStart w:id="7" w:name="_Toc1884353688_WPSOffice_Level1"/>
      <w:bookmarkStart w:id="8" w:name="_Toc1817023670_WPSOffice_Level1"/>
      <w:bookmarkStart w:id="9" w:name="_Toc1725477774_WPSOffice_Level1"/>
      <w:bookmarkStart w:id="10" w:name="_Toc1312729034_WPSOffice_Level1"/>
      <w:bookmarkStart w:id="11" w:name="_Toc492328658_WPSOffice_Level1"/>
      <w:r>
        <w:rPr>
          <w:rFonts w:hint="eastAsia" w:eastAsia="黑体"/>
          <w:sz w:val="32"/>
          <w:szCs w:val="32"/>
        </w:rPr>
        <w:t>二、项目资金使用及管理情况</w:t>
      </w:r>
      <w:bookmarkEnd w:id="6"/>
      <w:bookmarkEnd w:id="7"/>
      <w:bookmarkEnd w:id="8"/>
      <w:bookmarkEnd w:id="9"/>
      <w:bookmarkEnd w:id="10"/>
      <w:bookmarkEnd w:id="11"/>
    </w:p>
    <w:p>
      <w:pPr>
        <w:adjustRightInd w:val="0"/>
        <w:snapToGrid w:val="0"/>
        <w:spacing w:line="600" w:lineRule="exact"/>
        <w:ind w:firstLine="640" w:firstLineChars="200"/>
        <w:rPr>
          <w:rFonts w:hint="eastAsia" w:eastAsia="仿宋_GB2312"/>
          <w:sz w:val="32"/>
          <w:szCs w:val="32"/>
        </w:rPr>
      </w:pPr>
      <w:r>
        <w:rPr>
          <w:rFonts w:hint="eastAsia" w:eastAsia="仿宋_GB2312"/>
          <w:sz w:val="32"/>
          <w:szCs w:val="32"/>
        </w:rPr>
        <w:t>（一）项目资金及自筹资金的安排落实、总投入等情况。</w:t>
      </w:r>
    </w:p>
    <w:p>
      <w:pPr>
        <w:pStyle w:val="2"/>
      </w:pPr>
      <w:r>
        <w:rPr>
          <w:rFonts w:eastAsia="仿宋_GB2312"/>
          <w:sz w:val="32"/>
          <w:szCs w:val="32"/>
        </w:rPr>
        <w:t>20</w:t>
      </w:r>
      <w:r>
        <w:rPr>
          <w:rFonts w:hint="eastAsia" w:eastAsia="仿宋_GB2312"/>
          <w:sz w:val="32"/>
          <w:szCs w:val="32"/>
        </w:rPr>
        <w:t>2</w:t>
      </w:r>
      <w:r>
        <w:rPr>
          <w:rFonts w:hint="eastAsia" w:eastAsia="仿宋_GB2312"/>
          <w:sz w:val="32"/>
          <w:szCs w:val="32"/>
          <w:lang w:val="en-US" w:eastAsia="zh-CN"/>
        </w:rPr>
        <w:t>1</w:t>
      </w:r>
      <w:r>
        <w:rPr>
          <w:rFonts w:hint="eastAsia" w:eastAsia="仿宋_GB2312"/>
          <w:sz w:val="32"/>
          <w:szCs w:val="32"/>
        </w:rPr>
        <w:t>年教育</w:t>
      </w:r>
      <w:r>
        <w:rPr>
          <w:rFonts w:hint="eastAsia" w:eastAsia="仿宋_GB2312"/>
          <w:sz w:val="32"/>
          <w:szCs w:val="32"/>
          <w:lang w:eastAsia="zh-CN"/>
        </w:rPr>
        <w:t>综合</w:t>
      </w:r>
      <w:r>
        <w:rPr>
          <w:rFonts w:hint="eastAsia" w:eastAsia="仿宋_GB2312"/>
          <w:sz w:val="32"/>
          <w:szCs w:val="32"/>
        </w:rPr>
        <w:t>发展专项资金</w:t>
      </w:r>
      <w:r>
        <w:rPr>
          <w:rFonts w:hint="eastAsia" w:eastAsia="仿宋_GB2312"/>
          <w:sz w:val="32"/>
          <w:szCs w:val="32"/>
          <w:lang w:val="en-US" w:eastAsia="zh-CN"/>
        </w:rPr>
        <w:t>208</w:t>
      </w:r>
      <w:r>
        <w:rPr>
          <w:rFonts w:hint="eastAsia" w:eastAsia="仿宋_GB2312"/>
          <w:sz w:val="32"/>
          <w:szCs w:val="32"/>
        </w:rPr>
        <w:t>万元</w:t>
      </w:r>
      <w:r>
        <w:rPr>
          <w:rFonts w:eastAsia="仿宋_GB2312"/>
          <w:sz w:val="32"/>
          <w:szCs w:val="32"/>
        </w:rPr>
        <w:t> ，</w:t>
      </w:r>
      <w:r>
        <w:rPr>
          <w:rFonts w:hint="eastAsia" w:eastAsia="仿宋_GB2312"/>
          <w:sz w:val="32"/>
          <w:szCs w:val="32"/>
          <w:lang w:eastAsia="zh-CN"/>
        </w:rPr>
        <w:t>中央资金</w:t>
      </w:r>
      <w:r>
        <w:rPr>
          <w:rFonts w:hint="eastAsia" w:eastAsia="仿宋_GB2312"/>
          <w:sz w:val="32"/>
          <w:szCs w:val="32"/>
          <w:lang w:val="en-US" w:eastAsia="zh-CN"/>
        </w:rPr>
        <w:t>21万，省级资金187万</w:t>
      </w:r>
      <w:r>
        <w:rPr>
          <w:rFonts w:eastAsia="仿宋_GB2312"/>
          <w:sz w:val="32"/>
          <w:szCs w:val="32"/>
        </w:rPr>
        <w:t>。资金到位率100%</w:t>
      </w:r>
      <w:r>
        <w:rPr>
          <w:rFonts w:hint="eastAsia" w:eastAsia="仿宋_GB2312"/>
          <w:sz w:val="32"/>
          <w:szCs w:val="32"/>
        </w:rPr>
        <w:t>，分别按用款计划及时拨付。</w:t>
      </w:r>
    </w:p>
    <w:p>
      <w:pPr>
        <w:numPr>
          <w:ilvl w:val="0"/>
          <w:numId w:val="3"/>
        </w:numPr>
        <w:adjustRightInd w:val="0"/>
        <w:snapToGrid w:val="0"/>
        <w:spacing w:line="600" w:lineRule="exact"/>
        <w:ind w:firstLine="640" w:firstLineChars="200"/>
        <w:rPr>
          <w:rFonts w:eastAsia="仿宋_GB2312"/>
          <w:sz w:val="32"/>
          <w:szCs w:val="32"/>
        </w:rPr>
      </w:pPr>
      <w:r>
        <w:rPr>
          <w:rFonts w:hint="eastAsia" w:eastAsia="仿宋_GB2312"/>
          <w:sz w:val="32"/>
          <w:szCs w:val="32"/>
        </w:rPr>
        <w:t>项目资金实际使用情况。</w:t>
      </w:r>
    </w:p>
    <w:p>
      <w:pPr>
        <w:numPr>
          <w:ilvl w:val="0"/>
          <w:numId w:val="0"/>
        </w:numPr>
        <w:adjustRightInd w:val="0"/>
        <w:snapToGrid w:val="0"/>
        <w:spacing w:line="600" w:lineRule="exact"/>
        <w:ind w:firstLine="640" w:firstLineChars="200"/>
        <w:rPr>
          <w:rFonts w:eastAsia="仿宋_GB2312"/>
          <w:sz w:val="32"/>
          <w:szCs w:val="32"/>
        </w:rPr>
      </w:pPr>
      <w:r>
        <w:rPr>
          <w:rFonts w:hint="eastAsia" w:eastAsia="仿宋_GB2312"/>
          <w:sz w:val="32"/>
          <w:szCs w:val="32"/>
        </w:rPr>
        <w:t>资金支出规范，资金支出与申报计划相符合，资金支出合理、合法、合规。无资金违规使用、闲置等情况</w:t>
      </w:r>
    </w:p>
    <w:p>
      <w:pPr>
        <w:numPr>
          <w:ilvl w:val="0"/>
          <w:numId w:val="3"/>
        </w:numPr>
        <w:adjustRightInd w:val="0"/>
        <w:snapToGrid w:val="0"/>
        <w:spacing w:line="600" w:lineRule="exact"/>
        <w:ind w:left="0" w:leftChars="0" w:firstLine="640" w:firstLineChars="200"/>
        <w:rPr>
          <w:rFonts w:hint="eastAsia" w:eastAsia="仿宋_GB2312"/>
          <w:sz w:val="32"/>
          <w:szCs w:val="32"/>
        </w:rPr>
      </w:pPr>
      <w:r>
        <w:rPr>
          <w:rFonts w:hint="eastAsia" w:eastAsia="仿宋_GB2312"/>
          <w:sz w:val="32"/>
          <w:szCs w:val="32"/>
        </w:rPr>
        <w:t>项目资金管理情况分析，主要包括管理制度、办法的制订及执行情况。</w:t>
      </w:r>
    </w:p>
    <w:p>
      <w:pPr>
        <w:spacing w:line="600" w:lineRule="exact"/>
        <w:ind w:firstLine="640" w:firstLineChars="200"/>
        <w:rPr>
          <w:rFonts w:ascii="仿宋" w:hAnsi="仿宋" w:eastAsia="仿宋"/>
          <w:sz w:val="32"/>
          <w:szCs w:val="32"/>
        </w:rPr>
      </w:pPr>
      <w:r>
        <w:rPr>
          <w:rFonts w:ascii="仿宋" w:hAnsi="仿宋" w:eastAsia="仿宋"/>
          <w:sz w:val="32"/>
          <w:szCs w:val="32"/>
        </w:rPr>
        <w:t xml:space="preserve"> </w:t>
      </w:r>
      <w:r>
        <w:rPr>
          <w:rFonts w:hint="eastAsia" w:ascii="仿宋" w:hAnsi="仿宋" w:eastAsia="仿宋"/>
          <w:sz w:val="32"/>
          <w:szCs w:val="32"/>
        </w:rPr>
        <w:t>我市根据省财政厅、省教育厅的工作指示精神，紧紧围绕教育专项资金这一中心任务，有计划有步骤地开展了一系列工作。</w:t>
      </w:r>
    </w:p>
    <w:p>
      <w:pPr>
        <w:spacing w:line="600" w:lineRule="exact"/>
        <w:rPr>
          <w:rFonts w:ascii="仿宋" w:hAnsi="仿宋" w:eastAsia="仿宋"/>
          <w:sz w:val="32"/>
          <w:szCs w:val="32"/>
        </w:rPr>
      </w:pPr>
      <w:r>
        <w:rPr>
          <w:rFonts w:hint="eastAsia" w:ascii="仿宋" w:hAnsi="仿宋" w:eastAsia="仿宋"/>
          <w:sz w:val="32"/>
          <w:szCs w:val="32"/>
        </w:rPr>
        <w:t>教育</w:t>
      </w:r>
      <w:r>
        <w:rPr>
          <w:rFonts w:hint="eastAsia" w:ascii="仿宋" w:hAnsi="仿宋" w:eastAsia="仿宋"/>
          <w:sz w:val="32"/>
          <w:szCs w:val="32"/>
          <w:lang w:eastAsia="zh-CN"/>
        </w:rPr>
        <w:t>综合</w:t>
      </w:r>
      <w:r>
        <w:rPr>
          <w:rFonts w:hint="eastAsia" w:ascii="仿宋" w:hAnsi="仿宋" w:eastAsia="仿宋"/>
          <w:sz w:val="32"/>
          <w:szCs w:val="32"/>
        </w:rPr>
        <w:t>专</w:t>
      </w:r>
      <w:r>
        <w:rPr>
          <w:rFonts w:ascii="仿宋" w:hAnsi="仿宋" w:eastAsia="仿宋"/>
          <w:sz w:val="32"/>
          <w:szCs w:val="32"/>
        </w:rPr>
        <w:t>项，</w:t>
      </w:r>
      <w:r>
        <w:rPr>
          <w:rFonts w:hint="eastAsia" w:ascii="仿宋" w:hAnsi="仿宋" w:eastAsia="仿宋"/>
          <w:sz w:val="32"/>
          <w:szCs w:val="32"/>
        </w:rPr>
        <w:t>我们</w:t>
      </w:r>
      <w:r>
        <w:rPr>
          <w:rFonts w:ascii="仿宋" w:hAnsi="仿宋" w:eastAsia="仿宋"/>
          <w:sz w:val="32"/>
          <w:szCs w:val="32"/>
        </w:rPr>
        <w:t>实行资金管理报账制</w:t>
      </w:r>
      <w:r>
        <w:rPr>
          <w:rFonts w:hint="eastAsia" w:ascii="仿宋" w:hAnsi="仿宋" w:eastAsia="仿宋"/>
          <w:sz w:val="32"/>
          <w:szCs w:val="32"/>
        </w:rPr>
        <w:t>，</w:t>
      </w:r>
      <w:r>
        <w:rPr>
          <w:rFonts w:ascii="仿宋" w:hAnsi="仿宋" w:eastAsia="仿宋"/>
          <w:sz w:val="32"/>
          <w:szCs w:val="32"/>
        </w:rPr>
        <w:t>工程建设监理制</w:t>
      </w:r>
      <w:r>
        <w:rPr>
          <w:rFonts w:hint="eastAsia" w:ascii="仿宋" w:hAnsi="仿宋" w:eastAsia="仿宋"/>
          <w:sz w:val="32"/>
          <w:szCs w:val="32"/>
        </w:rPr>
        <w:t>，</w:t>
      </w:r>
      <w:r>
        <w:rPr>
          <w:rFonts w:ascii="仿宋" w:hAnsi="仿宋" w:eastAsia="仿宋"/>
          <w:sz w:val="32"/>
          <w:szCs w:val="32"/>
        </w:rPr>
        <w:t>建设任务合同制。</w:t>
      </w:r>
      <w:r>
        <w:rPr>
          <w:rFonts w:hint="eastAsia" w:ascii="仿宋" w:hAnsi="仿宋" w:eastAsia="仿宋"/>
          <w:sz w:val="32"/>
          <w:szCs w:val="32"/>
        </w:rPr>
        <w:t>工作任务完成后或</w:t>
      </w:r>
      <w:r>
        <w:rPr>
          <w:rFonts w:ascii="仿宋" w:hAnsi="仿宋" w:eastAsia="仿宋"/>
          <w:sz w:val="32"/>
          <w:szCs w:val="32"/>
        </w:rPr>
        <w:t>工程完工验收后，将</w:t>
      </w:r>
      <w:r>
        <w:rPr>
          <w:rFonts w:hint="eastAsia" w:ascii="仿宋" w:hAnsi="仿宋" w:eastAsia="仿宋"/>
          <w:sz w:val="32"/>
          <w:szCs w:val="32"/>
          <w:lang w:eastAsia="zh-CN"/>
        </w:rPr>
        <w:t>相关工作</w:t>
      </w:r>
      <w:r>
        <w:rPr>
          <w:rFonts w:ascii="仿宋" w:hAnsi="仿宋" w:eastAsia="仿宋"/>
          <w:sz w:val="32"/>
          <w:szCs w:val="32"/>
        </w:rPr>
        <w:t>验收情况报</w:t>
      </w:r>
      <w:r>
        <w:rPr>
          <w:rFonts w:hint="eastAsia" w:ascii="仿宋" w:hAnsi="仿宋" w:eastAsia="仿宋"/>
          <w:sz w:val="32"/>
          <w:szCs w:val="32"/>
        </w:rPr>
        <w:t>中心校</w:t>
      </w:r>
      <w:r>
        <w:rPr>
          <w:rFonts w:hint="eastAsia" w:ascii="仿宋" w:hAnsi="仿宋" w:eastAsia="仿宋"/>
          <w:sz w:val="32"/>
          <w:szCs w:val="32"/>
          <w:lang w:eastAsia="zh-CN"/>
        </w:rPr>
        <w:t>、</w:t>
      </w:r>
      <w:r>
        <w:rPr>
          <w:rFonts w:hint="eastAsia" w:ascii="仿宋" w:hAnsi="仿宋" w:eastAsia="仿宋"/>
          <w:sz w:val="32"/>
          <w:szCs w:val="32"/>
        </w:rPr>
        <w:t>市教育局，</w:t>
      </w:r>
      <w:r>
        <w:rPr>
          <w:rFonts w:ascii="仿宋" w:hAnsi="仿宋" w:eastAsia="仿宋"/>
          <w:sz w:val="32"/>
          <w:szCs w:val="32"/>
        </w:rPr>
        <w:t>经</w:t>
      </w:r>
      <w:r>
        <w:rPr>
          <w:rFonts w:hint="eastAsia" w:ascii="仿宋" w:hAnsi="仿宋" w:eastAsia="仿宋"/>
          <w:sz w:val="32"/>
          <w:szCs w:val="32"/>
        </w:rPr>
        <w:t>相关人员</w:t>
      </w:r>
      <w:r>
        <w:rPr>
          <w:rFonts w:ascii="仿宋" w:hAnsi="仿宋" w:eastAsia="仿宋"/>
          <w:sz w:val="32"/>
          <w:szCs w:val="32"/>
        </w:rPr>
        <w:t>现场复查，验收合格后方可报账支付资金。</w:t>
      </w:r>
    </w:p>
    <w:p>
      <w:pPr>
        <w:pStyle w:val="2"/>
        <w:numPr>
          <w:ilvl w:val="0"/>
          <w:numId w:val="0"/>
        </w:numPr>
        <w:ind w:leftChars="200"/>
      </w:pPr>
    </w:p>
    <w:p>
      <w:pPr>
        <w:adjustRightInd w:val="0"/>
        <w:snapToGrid w:val="0"/>
        <w:spacing w:line="600" w:lineRule="exact"/>
        <w:ind w:firstLine="640" w:firstLineChars="200"/>
        <w:rPr>
          <w:rFonts w:eastAsia="黑体"/>
          <w:sz w:val="32"/>
          <w:szCs w:val="32"/>
        </w:rPr>
      </w:pPr>
      <w:bookmarkStart w:id="12" w:name="_Toc1542427567_WPSOffice_Level1"/>
      <w:bookmarkStart w:id="13" w:name="_Toc313263115_WPSOffice_Level1"/>
      <w:bookmarkStart w:id="14" w:name="_Toc1937368807_WPSOffice_Level1"/>
      <w:bookmarkStart w:id="15" w:name="_Toc1499361350_WPSOffice_Level1"/>
      <w:bookmarkStart w:id="16" w:name="_Toc1391091907_WPSOffice_Level1"/>
      <w:bookmarkStart w:id="17" w:name="_Toc1347056182_WPSOffice_Level1"/>
      <w:r>
        <w:rPr>
          <w:rFonts w:hint="eastAsia" w:eastAsia="黑体"/>
          <w:sz w:val="32"/>
          <w:szCs w:val="32"/>
        </w:rPr>
        <w:t>三、项目资金组织实施情况</w:t>
      </w:r>
      <w:bookmarkEnd w:id="12"/>
      <w:bookmarkEnd w:id="13"/>
      <w:bookmarkEnd w:id="14"/>
      <w:bookmarkEnd w:id="15"/>
      <w:bookmarkEnd w:id="16"/>
      <w:bookmarkEnd w:id="17"/>
    </w:p>
    <w:p>
      <w:pPr>
        <w:adjustRightInd w:val="0"/>
        <w:snapToGrid w:val="0"/>
        <w:spacing w:line="600" w:lineRule="exact"/>
        <w:ind w:firstLine="640" w:firstLineChars="200"/>
        <w:rPr>
          <w:rFonts w:hint="eastAsia" w:eastAsia="仿宋_GB2312"/>
          <w:sz w:val="32"/>
          <w:szCs w:val="32"/>
        </w:rPr>
      </w:pPr>
      <w:r>
        <w:rPr>
          <w:rFonts w:hint="eastAsia" w:eastAsia="仿宋_GB2312"/>
          <w:sz w:val="32"/>
          <w:szCs w:val="32"/>
        </w:rPr>
        <w:t>（一）资金使用管理情况，主要包括预算资金及项目管理制度建设、日常检查监督管理等情况。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教育专</w:t>
      </w:r>
      <w:r>
        <w:rPr>
          <w:rFonts w:ascii="仿宋" w:hAnsi="仿宋" w:eastAsia="仿宋"/>
          <w:sz w:val="32"/>
          <w:szCs w:val="32"/>
        </w:rPr>
        <w:t>项支出均按照有关规章制度和项目实施完成情况进行支付</w:t>
      </w:r>
      <w:r>
        <w:rPr>
          <w:rFonts w:hint="eastAsia" w:ascii="仿宋" w:hAnsi="仿宋" w:eastAsia="仿宋"/>
          <w:sz w:val="32"/>
          <w:szCs w:val="32"/>
        </w:rPr>
        <w:t>，</w:t>
      </w:r>
      <w:r>
        <w:rPr>
          <w:rFonts w:ascii="仿宋" w:hAnsi="仿宋" w:eastAsia="仿宋"/>
          <w:sz w:val="32"/>
          <w:szCs w:val="32"/>
        </w:rPr>
        <w:t>并建立相关的管理制度，有专人负责</w:t>
      </w:r>
      <w:r>
        <w:rPr>
          <w:rFonts w:hint="eastAsia" w:ascii="仿宋" w:hAnsi="仿宋" w:eastAsia="仿宋"/>
          <w:sz w:val="32"/>
          <w:szCs w:val="32"/>
        </w:rPr>
        <w:t>。</w:t>
      </w:r>
      <w:r>
        <w:rPr>
          <w:rFonts w:ascii="仿宋" w:hAnsi="仿宋" w:eastAsia="仿宋"/>
          <w:sz w:val="32"/>
          <w:szCs w:val="32"/>
        </w:rPr>
        <w:t>项目进行前进行集体研究讨论，项目进行时有负责人及时跟踪项目实施情况，并及时提出意见和建议，办公设备购置全都通过政府采购</w:t>
      </w:r>
      <w:r>
        <w:rPr>
          <w:rFonts w:hint="eastAsia" w:ascii="仿宋" w:hAnsi="仿宋" w:eastAsia="仿宋"/>
          <w:sz w:val="32"/>
          <w:szCs w:val="32"/>
        </w:rPr>
        <w:t>管理办公室</w:t>
      </w:r>
      <w:r>
        <w:rPr>
          <w:rFonts w:ascii="仿宋" w:hAnsi="仿宋" w:eastAsia="仿宋"/>
          <w:sz w:val="32"/>
          <w:szCs w:val="32"/>
        </w:rPr>
        <w:t>审批后</w:t>
      </w:r>
      <w:r>
        <w:rPr>
          <w:rFonts w:hint="eastAsia" w:ascii="仿宋" w:hAnsi="仿宋" w:eastAsia="仿宋"/>
          <w:sz w:val="32"/>
          <w:szCs w:val="32"/>
        </w:rPr>
        <w:t>按程序</w:t>
      </w:r>
      <w:r>
        <w:rPr>
          <w:rFonts w:ascii="仿宋" w:hAnsi="仿宋" w:eastAsia="仿宋"/>
          <w:sz w:val="32"/>
          <w:szCs w:val="32"/>
        </w:rPr>
        <w:t>采购。</w:t>
      </w:r>
    </w:p>
    <w:p>
      <w:pPr>
        <w:numPr>
          <w:ilvl w:val="0"/>
          <w:numId w:val="4"/>
        </w:numPr>
        <w:adjustRightInd w:val="0"/>
        <w:snapToGrid w:val="0"/>
        <w:spacing w:line="600" w:lineRule="exact"/>
        <w:ind w:firstLine="640" w:firstLineChars="200"/>
        <w:rPr>
          <w:rFonts w:hint="eastAsia" w:eastAsia="仿宋_GB2312"/>
          <w:sz w:val="32"/>
          <w:szCs w:val="32"/>
        </w:rPr>
      </w:pPr>
      <w:r>
        <w:rPr>
          <w:rFonts w:hint="eastAsia" w:eastAsia="仿宋_GB2312"/>
          <w:sz w:val="32"/>
          <w:szCs w:val="32"/>
        </w:rPr>
        <w:t>项目组织实施情况，主要包括项目招投标、调整、竣工验收等情况。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项目经费严格按照单位的财务制度和预算支出范围的使用。由沅江市财政局教科文股、国库集中支付局和沅江市教育局会计核算中心统一核算，按照项目计划安排和实际工作情况开支，做到了专款专用，经费均按照湖南省财政厅印发有关文件、通知精神执行。</w:t>
      </w:r>
    </w:p>
    <w:p>
      <w:pPr>
        <w:pStyle w:val="2"/>
        <w:numPr>
          <w:ilvl w:val="0"/>
          <w:numId w:val="0"/>
        </w:numPr>
        <w:ind w:firstLine="640" w:firstLineChars="200"/>
        <w:rPr>
          <w:rFonts w:eastAsia="黑体"/>
          <w:sz w:val="32"/>
          <w:szCs w:val="32"/>
        </w:rPr>
      </w:pPr>
      <w:bookmarkStart w:id="18" w:name="_Toc1200644200_WPSOffice_Level1"/>
      <w:bookmarkStart w:id="19" w:name="_Toc1530755008_WPSOffice_Level1"/>
      <w:bookmarkStart w:id="20" w:name="_Toc202980676_WPSOffice_Level1"/>
      <w:bookmarkStart w:id="21" w:name="_Toc1305015632_WPSOffice_Level1"/>
      <w:bookmarkStart w:id="22" w:name="_Toc2068728492_WPSOffice_Level1"/>
      <w:bookmarkStart w:id="23" w:name="_Toc1595204283_WPSOffice_Level1"/>
      <w:r>
        <w:rPr>
          <w:rFonts w:hint="eastAsia" w:eastAsia="黑体"/>
          <w:sz w:val="32"/>
          <w:szCs w:val="32"/>
        </w:rPr>
        <w:t>四、项目资金绩效情况</w:t>
      </w:r>
      <w:bookmarkEnd w:id="18"/>
      <w:bookmarkEnd w:id="19"/>
      <w:bookmarkEnd w:id="20"/>
      <w:bookmarkEnd w:id="21"/>
      <w:bookmarkEnd w:id="22"/>
      <w:bookmarkEnd w:id="23"/>
    </w:p>
    <w:p>
      <w:pPr>
        <w:adjustRightInd w:val="0"/>
        <w:snapToGrid w:val="0"/>
        <w:spacing w:line="600" w:lineRule="exact"/>
        <w:ind w:firstLine="640" w:firstLineChars="200"/>
        <w:rPr>
          <w:rFonts w:hint="eastAsia" w:eastAsia="仿宋_GB2312"/>
          <w:sz w:val="32"/>
          <w:szCs w:val="32"/>
        </w:rPr>
      </w:pPr>
      <w:bookmarkStart w:id="24" w:name="_Toc1558077125_WPSOffice_Level2"/>
      <w:bookmarkStart w:id="25" w:name="_Toc1595204283_WPSOffice_Level2"/>
      <w:bookmarkStart w:id="26" w:name="_Toc1347056182_WPSOffice_Level2"/>
      <w:bookmarkStart w:id="27" w:name="_Toc2068728492_WPSOffice_Level2"/>
      <w:bookmarkStart w:id="28" w:name="_Toc2021629823_WPSOffice_Level2"/>
      <w:bookmarkStart w:id="29" w:name="_Toc202980676_WPSOffice_Level2"/>
      <w:r>
        <w:rPr>
          <w:rFonts w:hint="eastAsia" w:eastAsia="仿宋_GB2312"/>
          <w:sz w:val="32"/>
          <w:szCs w:val="32"/>
        </w:rPr>
        <w:t>（一）项目决策情况。</w:t>
      </w:r>
      <w:bookmarkEnd w:id="24"/>
      <w:bookmarkEnd w:id="25"/>
      <w:bookmarkEnd w:id="26"/>
      <w:bookmarkEnd w:id="27"/>
      <w:bookmarkEnd w:id="28"/>
      <w:bookmarkEnd w:id="29"/>
    </w:p>
    <w:p>
      <w:pPr>
        <w:pStyle w:val="2"/>
        <w:rPr>
          <w:rFonts w:hint="default" w:eastAsia="仿宋_GB2312"/>
          <w:lang w:val="en-US" w:eastAsia="zh-CN"/>
        </w:rPr>
      </w:pPr>
      <w:r>
        <w:rPr>
          <w:rFonts w:hint="eastAsia"/>
          <w:sz w:val="32"/>
          <w:szCs w:val="32"/>
          <w:lang w:eastAsia="zh-CN"/>
        </w:rPr>
        <w:t>设立项目目标、学校调研、项目提议、项目可行性分析、编制可行性报告、可行性报告研讨、选定项目、审批、编制项目立项报告、审批、项目立项。</w:t>
      </w:r>
    </w:p>
    <w:p>
      <w:pPr>
        <w:adjustRightInd w:val="0"/>
        <w:snapToGrid w:val="0"/>
        <w:spacing w:line="600" w:lineRule="exact"/>
        <w:ind w:firstLine="640" w:firstLineChars="200"/>
        <w:rPr>
          <w:rFonts w:hint="eastAsia" w:eastAsia="仿宋_GB2312"/>
          <w:sz w:val="32"/>
          <w:szCs w:val="32"/>
        </w:rPr>
      </w:pPr>
      <w:bookmarkStart w:id="30" w:name="_Toc1629531431_WPSOffice_Level2"/>
      <w:bookmarkStart w:id="31" w:name="_Toc203720094_WPSOffice_Level2"/>
      <w:bookmarkStart w:id="32" w:name="_Toc1292190096_WPSOffice_Level2"/>
      <w:bookmarkStart w:id="33" w:name="_Toc46172327_WPSOffice_Level2"/>
      <w:bookmarkStart w:id="34" w:name="_Toc1412535233_WPSOffice_Level2"/>
      <w:bookmarkStart w:id="35" w:name="_Toc186648357_WPSOffice_Level2"/>
      <w:r>
        <w:rPr>
          <w:rFonts w:hint="eastAsia" w:eastAsia="仿宋_GB2312"/>
          <w:sz w:val="32"/>
          <w:szCs w:val="32"/>
          <w:lang w:eastAsia="zh-CN"/>
        </w:rPr>
        <w:t>（二）</w:t>
      </w:r>
      <w:r>
        <w:rPr>
          <w:rFonts w:hint="eastAsia" w:eastAsia="仿宋_GB2312"/>
          <w:sz w:val="32"/>
          <w:szCs w:val="32"/>
        </w:rPr>
        <w:t>项目过程情况。</w:t>
      </w:r>
      <w:bookmarkEnd w:id="30"/>
      <w:bookmarkEnd w:id="31"/>
      <w:bookmarkEnd w:id="32"/>
      <w:bookmarkEnd w:id="33"/>
      <w:bookmarkEnd w:id="34"/>
      <w:bookmarkEnd w:id="35"/>
    </w:p>
    <w:p>
      <w:pPr>
        <w:adjustRightInd w:val="0"/>
        <w:snapToGrid w:val="0"/>
        <w:spacing w:line="600" w:lineRule="exact"/>
        <w:ind w:firstLine="640" w:firstLineChars="200"/>
        <w:rPr>
          <w:rFonts w:hint="eastAsia" w:eastAsia="仿宋_GB2312"/>
          <w:sz w:val="32"/>
          <w:szCs w:val="32"/>
          <w:lang w:eastAsia="zh-CN"/>
        </w:rPr>
      </w:pPr>
      <w:r>
        <w:rPr>
          <w:rFonts w:hint="eastAsia" w:eastAsia="仿宋_GB2312"/>
          <w:sz w:val="32"/>
          <w:szCs w:val="32"/>
          <w:lang w:eastAsia="zh-CN"/>
        </w:rPr>
        <w:t>项目任务范围计划要求的确认、项目控制标准的制订、依计划开展项目实施工作、开展实施中的指挥高度组织协调工作、定期不定期度量项目实际工作绩效、依据项目实际绩效和项目标准之间差距来纠偏措施。</w:t>
      </w:r>
    </w:p>
    <w:p>
      <w:pPr>
        <w:adjustRightInd w:val="0"/>
        <w:snapToGrid w:val="0"/>
        <w:spacing w:line="600" w:lineRule="exact"/>
        <w:ind w:firstLine="640" w:firstLineChars="200"/>
        <w:rPr>
          <w:rFonts w:hint="eastAsia" w:eastAsia="仿宋_GB2312"/>
          <w:sz w:val="32"/>
          <w:szCs w:val="32"/>
        </w:rPr>
      </w:pPr>
      <w:bookmarkStart w:id="36" w:name="_Toc1672811479_WPSOffice_Level2"/>
      <w:bookmarkStart w:id="37" w:name="_Toc834686540_WPSOffice_Level2"/>
      <w:bookmarkStart w:id="38" w:name="_Toc675810626_WPSOffice_Level2"/>
      <w:bookmarkStart w:id="39" w:name="_Toc485455925_WPSOffice_Level2"/>
      <w:bookmarkStart w:id="40" w:name="_Toc776703322_WPSOffice_Level2"/>
      <w:bookmarkStart w:id="41" w:name="_Toc1877679532_WPSOffice_Level2"/>
      <w:r>
        <w:rPr>
          <w:rFonts w:hint="eastAsia" w:eastAsia="仿宋_GB2312"/>
          <w:sz w:val="32"/>
          <w:szCs w:val="32"/>
        </w:rPr>
        <w:t>（三）项目产出情况。</w:t>
      </w:r>
      <w:bookmarkEnd w:id="36"/>
      <w:bookmarkEnd w:id="37"/>
      <w:bookmarkEnd w:id="38"/>
      <w:bookmarkEnd w:id="39"/>
      <w:bookmarkEnd w:id="40"/>
      <w:bookmarkEnd w:id="41"/>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w:t>
      </w:r>
      <w:r>
        <w:rPr>
          <w:rFonts w:hint="eastAsia" w:ascii="仿宋" w:hAnsi="仿宋" w:eastAsia="仿宋"/>
          <w:sz w:val="32"/>
          <w:szCs w:val="32"/>
        </w:rPr>
        <w:t>）项目的实施进度。</w:t>
      </w:r>
      <w:r>
        <w:rPr>
          <w:rFonts w:ascii="仿宋" w:hAnsi="仿宋" w:eastAsia="仿宋"/>
          <w:sz w:val="32"/>
          <w:szCs w:val="32"/>
        </w:rPr>
        <w:t>按时完成</w:t>
      </w:r>
      <w:r>
        <w:rPr>
          <w:rFonts w:hint="eastAsia" w:ascii="仿宋" w:hAnsi="仿宋" w:eastAsia="仿宋"/>
          <w:sz w:val="32"/>
          <w:szCs w:val="32"/>
        </w:rPr>
        <w:t>了教育</w:t>
      </w:r>
      <w:r>
        <w:rPr>
          <w:rFonts w:hint="eastAsia" w:ascii="仿宋" w:hAnsi="仿宋" w:eastAsia="仿宋"/>
          <w:sz w:val="32"/>
          <w:szCs w:val="32"/>
          <w:lang w:eastAsia="zh-CN"/>
        </w:rPr>
        <w:t>综合发展</w:t>
      </w:r>
      <w:r>
        <w:rPr>
          <w:rFonts w:hint="eastAsia" w:ascii="仿宋" w:hAnsi="仿宋" w:eastAsia="仿宋"/>
          <w:sz w:val="32"/>
          <w:szCs w:val="32"/>
        </w:rPr>
        <w:t>专项资金要求的各项</w:t>
      </w:r>
      <w:r>
        <w:rPr>
          <w:rFonts w:ascii="仿宋" w:hAnsi="仿宋" w:eastAsia="仿宋"/>
          <w:sz w:val="32"/>
          <w:szCs w:val="32"/>
        </w:rPr>
        <w:t>工作任务。</w:t>
      </w:r>
    </w:p>
    <w:p>
      <w:pPr>
        <w:spacing w:line="600" w:lineRule="exact"/>
        <w:ind w:firstLine="640" w:firstLineChars="200"/>
        <w:rPr>
          <w:rFonts w:ascii="仿宋" w:hAnsi="仿宋" w:eastAsia="仿宋"/>
          <w:sz w:val="32"/>
          <w:szCs w:val="32"/>
        </w:rPr>
      </w:pPr>
      <w:r>
        <w:rPr>
          <w:rFonts w:ascii="仿宋" w:hAnsi="仿宋" w:eastAsia="仿宋"/>
          <w:sz w:val="32"/>
          <w:szCs w:val="32"/>
        </w:rPr>
        <w:t>（2）项目完成质量</w:t>
      </w:r>
      <w:r>
        <w:rPr>
          <w:rFonts w:hint="eastAsia" w:ascii="仿宋" w:hAnsi="仿宋" w:eastAsia="仿宋"/>
          <w:sz w:val="32"/>
          <w:szCs w:val="32"/>
        </w:rPr>
        <w:t>。</w:t>
      </w:r>
      <w:r>
        <w:rPr>
          <w:rFonts w:ascii="仿宋" w:hAnsi="仿宋" w:eastAsia="仿宋"/>
          <w:sz w:val="32"/>
          <w:szCs w:val="32"/>
        </w:rPr>
        <w:t>工作任务全部按时完成，并已经</w:t>
      </w:r>
      <w:r>
        <w:rPr>
          <w:rFonts w:hint="eastAsia" w:ascii="仿宋" w:hAnsi="仿宋" w:eastAsia="仿宋"/>
          <w:sz w:val="32"/>
          <w:szCs w:val="32"/>
        </w:rPr>
        <w:t>利用</w:t>
      </w:r>
      <w:r>
        <w:rPr>
          <w:rFonts w:ascii="仿宋" w:hAnsi="仿宋" w:eastAsia="仿宋"/>
          <w:sz w:val="32"/>
          <w:szCs w:val="32"/>
        </w:rPr>
        <w:t>，运行状况良好。</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1）项目成本（预算）控制情况</w:t>
      </w:r>
      <w:r>
        <w:rPr>
          <w:rFonts w:hint="eastAsia" w:ascii="仿宋" w:hAnsi="仿宋" w:eastAsia="仿宋"/>
          <w:sz w:val="32"/>
          <w:szCs w:val="32"/>
        </w:rPr>
        <w:t>。</w:t>
      </w:r>
      <w:r>
        <w:rPr>
          <w:rFonts w:ascii="仿宋" w:hAnsi="仿宋" w:eastAsia="仿宋"/>
          <w:sz w:val="32"/>
          <w:szCs w:val="32"/>
        </w:rPr>
        <w:t>所有资金使用严格按照有关财务制度</w:t>
      </w:r>
      <w:r>
        <w:rPr>
          <w:rFonts w:hint="eastAsia" w:ascii="仿宋" w:hAnsi="仿宋" w:eastAsia="仿宋"/>
          <w:sz w:val="32"/>
          <w:szCs w:val="32"/>
        </w:rPr>
        <w:t>及预算资金</w:t>
      </w:r>
      <w:r>
        <w:rPr>
          <w:rFonts w:ascii="仿宋" w:hAnsi="仿宋" w:eastAsia="仿宋"/>
          <w:sz w:val="32"/>
          <w:szCs w:val="32"/>
        </w:rPr>
        <w:t>执行。完成了整个项目支出</w:t>
      </w:r>
      <w:r>
        <w:rPr>
          <w:rFonts w:hint="eastAsia" w:ascii="仿宋" w:hAnsi="仿宋" w:eastAsia="仿宋"/>
          <w:sz w:val="32"/>
          <w:szCs w:val="32"/>
          <w:lang w:val="en-US" w:eastAsia="zh-CN"/>
        </w:rPr>
        <w:t>208</w:t>
      </w:r>
      <w:r>
        <w:rPr>
          <w:rFonts w:ascii="仿宋" w:hAnsi="仿宋" w:eastAsia="仿宋"/>
          <w:sz w:val="32"/>
          <w:szCs w:val="32"/>
        </w:rPr>
        <w:t>万元。</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w:t>
      </w:r>
      <w:r>
        <w:rPr>
          <w:rFonts w:ascii="仿宋" w:hAnsi="仿宋" w:eastAsia="仿宋"/>
          <w:sz w:val="32"/>
          <w:szCs w:val="32"/>
        </w:rPr>
        <w:t>2）项目成本（预算）节约情况。项目支出过程中均按照厉行节约原则完成。</w:t>
      </w:r>
    </w:p>
    <w:p>
      <w:pPr>
        <w:adjustRightInd w:val="0"/>
        <w:snapToGrid w:val="0"/>
        <w:spacing w:line="600" w:lineRule="exact"/>
        <w:ind w:firstLine="640" w:firstLineChars="200"/>
        <w:rPr>
          <w:rFonts w:hint="eastAsia" w:eastAsia="仿宋_GB2312"/>
          <w:sz w:val="32"/>
          <w:szCs w:val="32"/>
        </w:rPr>
      </w:pPr>
      <w:bookmarkStart w:id="42" w:name="_Toc1912006680_WPSOffice_Level2"/>
      <w:bookmarkStart w:id="43" w:name="_Toc887701659_WPSOffice_Level2"/>
      <w:bookmarkStart w:id="44" w:name="_Toc86621029_WPSOffice_Level2"/>
      <w:bookmarkStart w:id="45" w:name="_Toc1213495576_WPSOffice_Level2"/>
      <w:bookmarkStart w:id="46" w:name="_Toc1647126388_WPSOffice_Level2"/>
      <w:bookmarkStart w:id="47" w:name="_Toc767356522_WPSOffice_Level2"/>
      <w:r>
        <w:rPr>
          <w:rFonts w:hint="eastAsia" w:eastAsia="仿宋_GB2312"/>
          <w:sz w:val="32"/>
          <w:szCs w:val="32"/>
        </w:rPr>
        <w:t>（四）项目效益情况。</w:t>
      </w:r>
      <w:bookmarkEnd w:id="42"/>
      <w:bookmarkEnd w:id="43"/>
      <w:bookmarkEnd w:id="44"/>
      <w:bookmarkEnd w:id="45"/>
      <w:bookmarkEnd w:id="46"/>
      <w:bookmarkEnd w:id="47"/>
    </w:p>
    <w:p>
      <w:pPr>
        <w:adjustRightInd w:val="0"/>
        <w:snapToGrid w:val="0"/>
        <w:spacing w:line="600" w:lineRule="exact"/>
        <w:ind w:firstLine="645"/>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1</w:t>
      </w:r>
      <w:r>
        <w:rPr>
          <w:rFonts w:hint="eastAsia" w:ascii="仿宋" w:hAnsi="仿宋" w:eastAsia="仿宋"/>
          <w:sz w:val="32"/>
          <w:szCs w:val="32"/>
        </w:rPr>
        <w:t>）根据“全国青少年校园足球特色学校（幼儿园）评价细则”，</w:t>
      </w:r>
      <w:r>
        <w:rPr>
          <w:rFonts w:hint="eastAsia" w:ascii="仿宋" w:hAnsi="仿宋" w:eastAsia="仿宋"/>
          <w:sz w:val="32"/>
          <w:szCs w:val="32"/>
          <w:lang w:val="en-US" w:eastAsia="zh-CN"/>
        </w:rPr>
        <w:t>40</w:t>
      </w:r>
      <w:r>
        <w:rPr>
          <w:rFonts w:hint="eastAsia" w:ascii="仿宋" w:hAnsi="仿宋" w:eastAsia="仿宋"/>
          <w:sz w:val="32"/>
          <w:szCs w:val="32"/>
        </w:rPr>
        <w:t>万元专项资金全部下拨到足球特色学校和特色幼儿园。在全市普及校园足球课程，，改革完善足球特长生招生办法，建立起校园足球推广工作体系和中小学足球人才贯通培养机制，通过举办足球联赛、体育节等活动，让学生走向操场、感受运动的快乐，掌握1-2项体育技能。我市被确定为全国校园足球改革试验区。</w:t>
      </w:r>
    </w:p>
    <w:p>
      <w:pPr>
        <w:adjustRightInd w:val="0"/>
        <w:snapToGrid w:val="0"/>
        <w:spacing w:line="600" w:lineRule="exact"/>
        <w:ind w:firstLine="645"/>
        <w:rPr>
          <w:rFonts w:hint="eastAsia" w:ascii="仿宋_GB2312" w:eastAsia="仿宋_GB2312"/>
          <w:sz w:val="32"/>
          <w:szCs w:val="32"/>
        </w:rPr>
      </w:pPr>
      <w:r>
        <w:rPr>
          <w:rFonts w:hint="eastAsia" w:ascii="仿宋" w:hAnsi="仿宋" w:eastAsia="仿宋"/>
          <w:sz w:val="32"/>
          <w:szCs w:val="32"/>
        </w:rPr>
        <w:t>（2）</w:t>
      </w:r>
      <w:r>
        <w:rPr>
          <w:rFonts w:hint="eastAsia" w:ascii="仿宋_GB2312" w:eastAsia="仿宋_GB2312"/>
          <w:sz w:val="32"/>
          <w:szCs w:val="32"/>
        </w:rPr>
        <w:t>通过进一步加强“平安校园”信息化建设,利用信息化平台,今年进一步提升了</w:t>
      </w:r>
      <w:r>
        <w:rPr>
          <w:rFonts w:hint="eastAsia" w:ascii="仿宋_GB2312" w:eastAsia="仿宋_GB2312"/>
          <w:sz w:val="32"/>
          <w:szCs w:val="32"/>
          <w:lang w:eastAsia="zh-CN"/>
        </w:rPr>
        <w:t>阳罗中心小学</w:t>
      </w:r>
      <w:r>
        <w:rPr>
          <w:rFonts w:hint="eastAsia" w:ascii="仿宋_GB2312" w:eastAsia="仿宋_GB2312"/>
          <w:sz w:val="32"/>
          <w:szCs w:val="32"/>
        </w:rPr>
        <w:t>的安全防范能力,提高维护了安全稳定工作和校园安全管理工作的科学性、有效性,及时消除了校园安全隐患,有效预防和打击了校内各类违法犯罪事件。</w:t>
      </w:r>
    </w:p>
    <w:p>
      <w:pPr>
        <w:adjustRightInd w:val="0"/>
        <w:snapToGrid w:val="0"/>
        <w:spacing w:line="600" w:lineRule="exact"/>
        <w:ind w:firstLine="645"/>
        <w:rPr>
          <w:rFonts w:hint="eastAsia" w:ascii="仿宋" w:hAnsi="仿宋" w:eastAsia="仿宋"/>
          <w:sz w:val="32"/>
          <w:szCs w:val="32"/>
        </w:rPr>
      </w:pPr>
      <w:r>
        <w:rPr>
          <w:rFonts w:hint="eastAsia" w:ascii="仿宋" w:hAnsi="仿宋" w:eastAsia="仿宋"/>
          <w:sz w:val="32"/>
          <w:szCs w:val="32"/>
        </w:rPr>
        <w:t>（</w:t>
      </w:r>
      <w:r>
        <w:rPr>
          <w:rFonts w:hint="eastAsia" w:ascii="仿宋" w:hAnsi="仿宋" w:eastAsia="仿宋"/>
          <w:sz w:val="32"/>
          <w:szCs w:val="32"/>
          <w:lang w:val="en-US" w:eastAsia="zh-CN"/>
        </w:rPr>
        <w:t>3</w:t>
      </w:r>
      <w:r>
        <w:rPr>
          <w:rFonts w:hint="eastAsia" w:ascii="仿宋" w:hAnsi="仿宋" w:eastAsia="仿宋"/>
          <w:sz w:val="32"/>
          <w:szCs w:val="32"/>
        </w:rPr>
        <w:t>）胭脂湖中小胡蓉老师获“省芙蓉教学名师”荣誉称号，奖励工作经费每年10万元，共30万元。通过有步骤的开展教师培训工作，进一步完善了校本教研制度，致力课改实验的研究，将教师的教学实践与教学研究、校本培训有机融合专业水平，形成了“培训、管理、研究”一体化的校本培训运行机制。有效促进了教师的持续发展、提升了教师的整体素质。</w:t>
      </w:r>
    </w:p>
    <w:p>
      <w:pPr>
        <w:adjustRightInd w:val="0"/>
        <w:snapToGrid w:val="0"/>
        <w:spacing w:line="600" w:lineRule="exact"/>
        <w:ind w:firstLine="645"/>
        <w:rPr>
          <w:rFonts w:hint="eastAsia" w:ascii="仿宋" w:hAnsi="仿宋" w:eastAsia="仿宋"/>
          <w:sz w:val="32"/>
          <w:szCs w:val="32"/>
          <w:lang w:eastAsia="zh-CN"/>
        </w:rPr>
      </w:pPr>
      <w:r>
        <w:rPr>
          <w:rFonts w:hint="eastAsia" w:ascii="仿宋" w:hAnsi="仿宋" w:eastAsia="仿宋"/>
          <w:sz w:val="32"/>
          <w:szCs w:val="32"/>
          <w:lang w:eastAsia="zh-CN"/>
        </w:rPr>
        <w:t>（</w:t>
      </w:r>
      <w:r>
        <w:rPr>
          <w:rFonts w:hint="eastAsia" w:ascii="仿宋" w:hAnsi="仿宋" w:eastAsia="仿宋"/>
          <w:sz w:val="32"/>
          <w:szCs w:val="32"/>
          <w:lang w:val="en-US" w:eastAsia="zh-CN"/>
        </w:rPr>
        <w:t>4</w:t>
      </w:r>
      <w:r>
        <w:rPr>
          <w:rFonts w:hint="eastAsia" w:ascii="仿宋" w:hAnsi="仿宋" w:eastAsia="仿宋"/>
          <w:sz w:val="32"/>
          <w:szCs w:val="32"/>
          <w:lang w:eastAsia="zh-CN"/>
        </w:rPr>
        <w:t>）</w:t>
      </w:r>
      <w:r>
        <w:rPr>
          <w:rFonts w:hint="eastAsia" w:ascii="仿宋" w:hAnsi="仿宋" w:eastAsia="仿宋"/>
          <w:sz w:val="32"/>
          <w:szCs w:val="32"/>
        </w:rPr>
        <w:t> 以全面提升中小学教师队伍综合素质为目标，以集中培训、远程研修和校本培训为主要形式，形成多层次、多元化、全员参与的教师培训格局，全面覆盖全市幼儿园、中小学、职业学校共计</w:t>
      </w:r>
      <w:r>
        <w:rPr>
          <w:rFonts w:hint="eastAsia" w:ascii="仿宋" w:hAnsi="仿宋" w:eastAsia="仿宋"/>
          <w:sz w:val="32"/>
          <w:szCs w:val="32"/>
          <w:lang w:val="en-US" w:eastAsia="zh-CN"/>
        </w:rPr>
        <w:t>5000多</w:t>
      </w:r>
      <w:r>
        <w:rPr>
          <w:rFonts w:hint="eastAsia" w:ascii="仿宋" w:hAnsi="仿宋" w:eastAsia="仿宋"/>
          <w:sz w:val="32"/>
          <w:szCs w:val="32"/>
        </w:rPr>
        <w:t>名专任教师；支持创建名师、名校长工作室，充分发挥特级教师的示范、引领、指导作用，利用名师名校长工作室培养优秀教师、开展教育教学研究、推广教育教学成果、分享教育教学优质资源，促进教育均衡；，提升中小学校长、幼儿园园长综合素质，努力培养一支师德高尚，业务精良，结构合理，充满活力的现代化高素质干部、教师队伍，积极推进全市教育现代化发展，整体提高我市教育水平。</w:t>
      </w:r>
    </w:p>
    <w:p>
      <w:pPr>
        <w:adjustRightInd w:val="0"/>
        <w:snapToGrid w:val="0"/>
        <w:spacing w:line="600" w:lineRule="exact"/>
        <w:ind w:firstLine="645"/>
        <w:rPr>
          <w:rFonts w:ascii="仿宋_GB2312" w:eastAsia="仿宋_GB2312"/>
          <w:sz w:val="32"/>
          <w:szCs w:val="32"/>
        </w:rPr>
      </w:pPr>
      <w:r>
        <w:rPr>
          <w:rFonts w:hint="eastAsia" w:ascii="仿宋" w:hAnsi="仿宋" w:eastAsia="仿宋"/>
          <w:sz w:val="32"/>
          <w:szCs w:val="32"/>
          <w:lang w:val="en-US" w:eastAsia="zh-CN"/>
        </w:rPr>
        <w:t>（5）教育支出资金投入到13所中小学，</w:t>
      </w:r>
      <w:r>
        <w:rPr>
          <w:rFonts w:hint="eastAsia" w:ascii="仿宋_GB2312" w:eastAsia="仿宋_GB2312"/>
          <w:sz w:val="32"/>
          <w:szCs w:val="32"/>
        </w:rPr>
        <w:t>通过进一步加强“平安校园”信息化建设,利用信息化平台,今年进一步提升了学校的安全防范能力,提高维护了安全稳定工作和校园安全管理工作的科学性、有效性,及时消除了校园安全隐患,有效预防和打击了校内各类违法犯罪事件。</w:t>
      </w:r>
    </w:p>
    <w:p>
      <w:pPr>
        <w:adjustRightInd w:val="0"/>
        <w:snapToGrid w:val="0"/>
        <w:spacing w:line="600" w:lineRule="exact"/>
        <w:ind w:firstLine="640" w:firstLineChars="200"/>
        <w:rPr>
          <w:rFonts w:hint="eastAsia" w:ascii="仿宋" w:hAnsi="仿宋" w:eastAsia="仿宋"/>
          <w:sz w:val="32"/>
          <w:szCs w:val="32"/>
        </w:rPr>
      </w:pPr>
      <w:r>
        <w:rPr>
          <w:rFonts w:hint="eastAsia" w:ascii="仿宋" w:hAnsi="仿宋" w:eastAsia="仿宋"/>
          <w:sz w:val="32"/>
          <w:szCs w:val="32"/>
          <w:lang w:eastAsia="zh-CN"/>
        </w:rPr>
        <w:t>（</w:t>
      </w:r>
      <w:r>
        <w:rPr>
          <w:rFonts w:hint="eastAsia" w:ascii="仿宋" w:hAnsi="仿宋" w:eastAsia="仿宋"/>
          <w:sz w:val="32"/>
          <w:szCs w:val="32"/>
          <w:lang w:val="en-US" w:eastAsia="zh-CN"/>
        </w:rPr>
        <w:t>6</w:t>
      </w:r>
      <w:r>
        <w:rPr>
          <w:rFonts w:hint="eastAsia" w:ascii="仿宋" w:hAnsi="仿宋" w:eastAsia="仿宋"/>
          <w:sz w:val="32"/>
          <w:szCs w:val="32"/>
          <w:lang w:eastAsia="zh-CN"/>
        </w:rPr>
        <w:t>）</w:t>
      </w:r>
      <w:r>
        <w:rPr>
          <w:rFonts w:hint="eastAsia" w:ascii="仿宋" w:hAnsi="仿宋" w:eastAsia="仿宋"/>
          <w:sz w:val="32"/>
          <w:szCs w:val="32"/>
        </w:rPr>
        <w:t>根据省市安排和沅江教育教学工作实际，2021年沅江市选派11名教师到湘西土家族苗族自治州花垣县民族中学和花垣县边城镇中心小学支教，选派5位优秀“银龄”教师在本地担任教学工作。一年来，支教教师和“银龄”教师在各自的工作岗位上辛勤工作，工作成绩显著，受到受援单位师生的一致好评。</w:t>
      </w:r>
    </w:p>
    <w:p>
      <w:pPr>
        <w:adjustRightInd w:val="0"/>
        <w:snapToGrid w:val="0"/>
        <w:spacing w:line="600" w:lineRule="exact"/>
        <w:ind w:firstLine="640" w:firstLineChars="200"/>
        <w:rPr>
          <w:rFonts w:hint="eastAsia" w:eastAsia="黑体"/>
          <w:sz w:val="32"/>
          <w:szCs w:val="32"/>
        </w:rPr>
      </w:pPr>
      <w:bookmarkStart w:id="48" w:name="_Toc12671134_WPSOffice_Level1"/>
      <w:bookmarkStart w:id="49" w:name="_Toc1147240213_WPSOffice_Level1"/>
      <w:bookmarkStart w:id="50" w:name="_Toc485455925_WPSOffice_Level1"/>
      <w:bookmarkStart w:id="51" w:name="_Toc1912006680_WPSOffice_Level1"/>
      <w:bookmarkStart w:id="52" w:name="_Toc545328396_WPSOffice_Level1"/>
      <w:bookmarkStart w:id="53" w:name="_Toc486195343_WPSOffice_Level1"/>
      <w:r>
        <w:rPr>
          <w:rFonts w:hint="eastAsia" w:eastAsia="黑体"/>
          <w:sz w:val="32"/>
          <w:szCs w:val="32"/>
        </w:rPr>
        <w:t>五、主要经验做法、存在的问题及原因分析</w:t>
      </w:r>
      <w:bookmarkEnd w:id="48"/>
      <w:bookmarkEnd w:id="49"/>
      <w:bookmarkEnd w:id="50"/>
      <w:bookmarkEnd w:id="51"/>
      <w:bookmarkEnd w:id="52"/>
      <w:bookmarkEnd w:id="53"/>
    </w:p>
    <w:p>
      <w:pPr>
        <w:adjustRightInd w:val="0"/>
        <w:snapToGrid w:val="0"/>
        <w:spacing w:line="600" w:lineRule="exact"/>
        <w:ind w:firstLine="480" w:firstLineChars="150"/>
        <w:rPr>
          <w:rFonts w:ascii="仿宋" w:hAnsi="仿宋" w:eastAsia="仿宋"/>
          <w:sz w:val="32"/>
          <w:szCs w:val="32"/>
        </w:rPr>
      </w:pPr>
      <w:r>
        <w:rPr>
          <w:rFonts w:ascii="仿宋" w:hAnsi="仿宋" w:eastAsia="仿宋"/>
          <w:sz w:val="32"/>
          <w:szCs w:val="32"/>
        </w:rPr>
        <w:t>（1）是实行专人专账管理。按照各项专项资金管理和使用办法，按会计制度进行单独的会计核算，专项资金使用规范，</w:t>
      </w:r>
      <w:r>
        <w:rPr>
          <w:rFonts w:hint="eastAsia" w:ascii="仿宋" w:hAnsi="仿宋" w:eastAsia="仿宋"/>
          <w:sz w:val="32"/>
          <w:szCs w:val="32"/>
        </w:rPr>
        <w:t>账</w:t>
      </w:r>
      <w:r>
        <w:rPr>
          <w:rFonts w:ascii="仿宋" w:hAnsi="仿宋" w:eastAsia="仿宋"/>
          <w:sz w:val="32"/>
          <w:szCs w:val="32"/>
        </w:rPr>
        <w:t>务清晰，原始凭证齐全。</w:t>
      </w:r>
    </w:p>
    <w:p>
      <w:pPr>
        <w:adjustRightInd w:val="0"/>
        <w:snapToGrid w:val="0"/>
        <w:spacing w:line="600" w:lineRule="exact"/>
        <w:ind w:firstLine="480" w:firstLineChars="150"/>
        <w:rPr>
          <w:rFonts w:ascii="仿宋" w:hAnsi="仿宋" w:eastAsia="仿宋"/>
          <w:sz w:val="32"/>
          <w:szCs w:val="32"/>
        </w:rPr>
      </w:pPr>
      <w:r>
        <w:rPr>
          <w:rFonts w:ascii="仿宋" w:hAnsi="仿宋" w:eastAsia="仿宋"/>
          <w:sz w:val="32"/>
          <w:szCs w:val="32"/>
        </w:rPr>
        <w:t>（2）是实行责任</w:t>
      </w:r>
      <w:r>
        <w:rPr>
          <w:rFonts w:hint="eastAsia" w:ascii="仿宋" w:hAnsi="仿宋" w:eastAsia="仿宋"/>
          <w:sz w:val="32"/>
          <w:szCs w:val="32"/>
        </w:rPr>
        <w:t>追究制</w:t>
      </w:r>
      <w:r>
        <w:rPr>
          <w:rFonts w:ascii="仿宋" w:hAnsi="仿宋" w:eastAsia="仿宋"/>
          <w:sz w:val="32"/>
          <w:szCs w:val="32"/>
        </w:rPr>
        <w:t>。在项目实施和资金使用过程中，实行责任目标管理，</w:t>
      </w:r>
      <w:r>
        <w:rPr>
          <w:rFonts w:hint="eastAsia" w:ascii="仿宋" w:hAnsi="仿宋" w:eastAsia="仿宋"/>
          <w:sz w:val="32"/>
          <w:szCs w:val="32"/>
        </w:rPr>
        <w:t>实行责任追究制度，学校校长为第一责任人，</w:t>
      </w:r>
      <w:r>
        <w:rPr>
          <w:rFonts w:hint="eastAsia" w:asciiTheme="minorEastAsia" w:hAnsiTheme="minorEastAsia" w:eastAsiaTheme="minorEastAsia"/>
          <w:sz w:val="32"/>
          <w:szCs w:val="32"/>
        </w:rPr>
        <w:t>总</w:t>
      </w:r>
      <w:r>
        <w:rPr>
          <w:rFonts w:hint="eastAsia" w:ascii="仿宋" w:hAnsi="仿宋" w:eastAsia="仿宋"/>
          <w:sz w:val="32"/>
          <w:szCs w:val="32"/>
        </w:rPr>
        <w:t>务主任为直接责任人。如有目标没落实的情况，则追究相应负责人的责任。</w:t>
      </w:r>
    </w:p>
    <w:p>
      <w:pPr>
        <w:adjustRightInd w:val="0"/>
        <w:snapToGrid w:val="0"/>
        <w:spacing w:line="600" w:lineRule="exact"/>
        <w:ind w:firstLine="640" w:firstLineChars="200"/>
        <w:rPr>
          <w:rFonts w:hint="eastAsia" w:eastAsia="黑体"/>
          <w:sz w:val="32"/>
          <w:szCs w:val="32"/>
        </w:rPr>
      </w:pPr>
      <w:bookmarkStart w:id="54" w:name="_Toc2021629823_WPSOffice_Level1"/>
      <w:bookmarkStart w:id="55" w:name="_Toc309852966_WPSOffice_Level1"/>
      <w:bookmarkStart w:id="56" w:name="_Toc150977052_WPSOffice_Level1"/>
      <w:bookmarkStart w:id="57" w:name="_Toc362868085_WPSOffice_Level1"/>
      <w:bookmarkStart w:id="58" w:name="_Toc1558077125_WPSOffice_Level1"/>
      <w:bookmarkStart w:id="59" w:name="_Toc767931174_WPSOffice_Level1"/>
      <w:r>
        <w:rPr>
          <w:rFonts w:hint="eastAsia" w:eastAsia="黑体"/>
          <w:sz w:val="32"/>
          <w:szCs w:val="32"/>
        </w:rPr>
        <w:t>六、有关建议</w:t>
      </w:r>
      <w:bookmarkEnd w:id="54"/>
      <w:bookmarkEnd w:id="55"/>
      <w:bookmarkEnd w:id="56"/>
      <w:bookmarkEnd w:id="57"/>
      <w:bookmarkEnd w:id="58"/>
      <w:bookmarkEnd w:id="59"/>
    </w:p>
    <w:p>
      <w:pPr>
        <w:spacing w:line="600" w:lineRule="exact"/>
        <w:ind w:firstLine="480" w:firstLineChars="150"/>
        <w:rPr>
          <w:rFonts w:ascii="仿宋" w:hAnsi="仿宋" w:eastAsia="仿宋"/>
          <w:sz w:val="32"/>
          <w:szCs w:val="32"/>
        </w:rPr>
      </w:pPr>
      <w:r>
        <w:rPr>
          <w:rFonts w:ascii="仿宋" w:hAnsi="仿宋" w:eastAsia="仿宋"/>
          <w:sz w:val="32"/>
          <w:szCs w:val="32"/>
        </w:rPr>
        <w:t>（1）</w:t>
      </w:r>
      <w:r>
        <w:rPr>
          <w:rFonts w:hint="eastAsia" w:ascii="仿宋" w:hAnsi="仿宋" w:eastAsia="仿宋"/>
          <w:sz w:val="32"/>
          <w:szCs w:val="32"/>
        </w:rPr>
        <w:t>建议省财政厅和省教育厅定期主办教育</w:t>
      </w:r>
      <w:r>
        <w:rPr>
          <w:rFonts w:ascii="仿宋" w:hAnsi="仿宋" w:eastAsia="仿宋"/>
          <w:sz w:val="32"/>
          <w:szCs w:val="32"/>
        </w:rPr>
        <w:t>专项资金绩效评</w:t>
      </w:r>
      <w:r>
        <w:rPr>
          <w:rFonts w:hint="eastAsia" w:ascii="仿宋" w:hAnsi="仿宋" w:eastAsia="仿宋"/>
          <w:sz w:val="32"/>
          <w:szCs w:val="32"/>
        </w:rPr>
        <w:t>价的专题培训，提高教育行政干部的项目</w:t>
      </w:r>
      <w:r>
        <w:rPr>
          <w:rFonts w:ascii="仿宋" w:hAnsi="仿宋" w:eastAsia="仿宋"/>
          <w:sz w:val="32"/>
          <w:szCs w:val="32"/>
        </w:rPr>
        <w:t>绩效</w:t>
      </w:r>
      <w:r>
        <w:rPr>
          <w:rFonts w:hint="eastAsia" w:ascii="仿宋" w:hAnsi="仿宋" w:eastAsia="仿宋"/>
          <w:sz w:val="32"/>
          <w:szCs w:val="32"/>
        </w:rPr>
        <w:t>管理意识和工作人员的项目</w:t>
      </w:r>
      <w:r>
        <w:rPr>
          <w:rFonts w:ascii="仿宋" w:hAnsi="仿宋" w:eastAsia="仿宋"/>
          <w:sz w:val="32"/>
          <w:szCs w:val="32"/>
        </w:rPr>
        <w:t>绩效</w:t>
      </w:r>
      <w:r>
        <w:rPr>
          <w:rFonts w:hint="eastAsia" w:ascii="仿宋" w:hAnsi="仿宋" w:eastAsia="仿宋"/>
          <w:sz w:val="32"/>
          <w:szCs w:val="32"/>
        </w:rPr>
        <w:t>管理水平。</w:t>
      </w:r>
    </w:p>
    <w:p>
      <w:pPr>
        <w:spacing w:line="600" w:lineRule="exact"/>
        <w:ind w:firstLine="480" w:firstLineChars="150"/>
        <w:rPr>
          <w:rFonts w:ascii="仿宋" w:hAnsi="仿宋" w:eastAsia="仿宋"/>
          <w:sz w:val="32"/>
          <w:szCs w:val="32"/>
        </w:rPr>
      </w:pPr>
      <w:r>
        <w:rPr>
          <w:rFonts w:ascii="仿宋" w:hAnsi="仿宋" w:eastAsia="仿宋"/>
          <w:sz w:val="32"/>
          <w:szCs w:val="32"/>
        </w:rPr>
        <w:t>（2）</w:t>
      </w:r>
      <w:r>
        <w:rPr>
          <w:rFonts w:hint="eastAsia" w:ascii="仿宋" w:hAnsi="仿宋" w:eastAsia="仿宋"/>
          <w:sz w:val="32"/>
          <w:szCs w:val="32"/>
        </w:rPr>
        <w:t>进一步改善办公条件，逐步实现办公条件标准化，用现代信息技术带动</w:t>
      </w:r>
      <w:r>
        <w:rPr>
          <w:rFonts w:ascii="仿宋" w:hAnsi="仿宋" w:eastAsia="仿宋"/>
          <w:sz w:val="32"/>
          <w:szCs w:val="32"/>
        </w:rPr>
        <w:t>专项资金绩效评</w:t>
      </w:r>
      <w:r>
        <w:rPr>
          <w:rFonts w:hint="eastAsia" w:ascii="仿宋" w:hAnsi="仿宋" w:eastAsia="仿宋"/>
          <w:sz w:val="32"/>
          <w:szCs w:val="32"/>
        </w:rPr>
        <w:t>价的现代化。</w:t>
      </w:r>
    </w:p>
    <w:p>
      <w:pPr>
        <w:spacing w:line="600" w:lineRule="exact"/>
        <w:ind w:firstLine="480" w:firstLineChars="150"/>
        <w:rPr>
          <w:rFonts w:ascii="仿宋" w:hAnsi="仿宋" w:eastAsia="仿宋"/>
          <w:sz w:val="32"/>
          <w:szCs w:val="32"/>
        </w:rPr>
      </w:pPr>
      <w:r>
        <w:rPr>
          <w:rFonts w:ascii="仿宋" w:hAnsi="仿宋" w:eastAsia="仿宋"/>
          <w:sz w:val="32"/>
          <w:szCs w:val="32"/>
        </w:rPr>
        <w:t>（3）</w:t>
      </w:r>
      <w:r>
        <w:rPr>
          <w:rFonts w:hint="eastAsia" w:ascii="仿宋" w:hAnsi="仿宋" w:eastAsia="仿宋"/>
          <w:sz w:val="32"/>
          <w:szCs w:val="32"/>
        </w:rPr>
        <w:t>学校存在要改善的地方较多，专项资金有限，一定程度上约束了办学条件的改善。建议省财政和教育部门进一步加大对农村中小学特别是薄弱学校改善办学条件的支持力度。</w:t>
      </w:r>
    </w:p>
    <w:p>
      <w:pPr>
        <w:adjustRightInd w:val="0"/>
        <w:snapToGrid w:val="0"/>
        <w:spacing w:line="600" w:lineRule="exact"/>
        <w:ind w:firstLine="640" w:firstLineChars="200"/>
        <w:rPr>
          <w:rFonts w:hint="eastAsia" w:eastAsia="黑体"/>
          <w:sz w:val="32"/>
          <w:szCs w:val="32"/>
        </w:rPr>
      </w:pPr>
      <w:bookmarkStart w:id="60" w:name="_Toc2017830762_WPSOffice_Level1"/>
      <w:bookmarkStart w:id="61" w:name="_Toc186648357_WPSOffice_Level1"/>
      <w:bookmarkStart w:id="62" w:name="_Toc242522948_WPSOffice_Level1"/>
      <w:bookmarkStart w:id="63" w:name="_Toc46998282_WPSOffice_Level1"/>
      <w:bookmarkStart w:id="64" w:name="_Toc50955587_WPSOffice_Level1"/>
      <w:bookmarkStart w:id="65" w:name="_Toc46172327_WPSOffice_Level1"/>
      <w:r>
        <w:rPr>
          <w:rFonts w:hint="eastAsia" w:eastAsia="黑体"/>
          <w:sz w:val="32"/>
          <w:szCs w:val="32"/>
        </w:rPr>
        <w:t>七、其他需要说明的问题</w:t>
      </w:r>
      <w:bookmarkEnd w:id="60"/>
      <w:bookmarkEnd w:id="61"/>
      <w:bookmarkEnd w:id="62"/>
      <w:bookmarkEnd w:id="63"/>
      <w:bookmarkEnd w:id="64"/>
      <w:bookmarkEnd w:id="65"/>
    </w:p>
    <w:p>
      <w:pPr>
        <w:pStyle w:val="2"/>
        <w:rPr>
          <w:rFonts w:hint="eastAsia" w:ascii="仿宋" w:hAnsi="仿宋" w:eastAsia="仿宋" w:cs="Times New Roman"/>
          <w:kern w:val="2"/>
          <w:sz w:val="32"/>
          <w:szCs w:val="32"/>
          <w:lang w:val="en-US" w:eastAsia="zh-CN" w:bidi="ar-SA"/>
        </w:rPr>
      </w:pPr>
      <w:r>
        <w:rPr>
          <w:rFonts w:hint="eastAsia" w:ascii="仿宋" w:hAnsi="仿宋" w:eastAsia="仿宋" w:cs="Times New Roman"/>
          <w:kern w:val="2"/>
          <w:sz w:val="32"/>
          <w:szCs w:val="32"/>
          <w:lang w:val="en-US" w:eastAsia="zh-CN" w:bidi="ar-SA"/>
        </w:rPr>
        <w:t>无</w:t>
      </w:r>
    </w:p>
    <w:p>
      <w:pPr>
        <w:widowControl/>
        <w:jc w:val="left"/>
        <w:rPr>
          <w:rFonts w:eastAsia="仿宋_GB2312"/>
          <w:sz w:val="32"/>
          <w:szCs w:val="32"/>
        </w:rPr>
      </w:pPr>
      <w:r>
        <w:rPr>
          <w:rFonts w:eastAsia="仿宋_GB2312"/>
          <w:sz w:val="32"/>
          <w:szCs w:val="32"/>
        </w:rPr>
        <w:br w:type="page"/>
      </w:r>
    </w:p>
    <w:p>
      <w:pPr>
        <w:widowControl/>
        <w:snapToGrid w:val="0"/>
        <w:spacing w:line="600" w:lineRule="exact"/>
        <w:jc w:val="left"/>
        <w:rPr>
          <w:rFonts w:eastAsia="黑体"/>
          <w:sz w:val="32"/>
          <w:szCs w:val="32"/>
        </w:rPr>
      </w:pPr>
      <w:r>
        <w:rPr>
          <w:rFonts w:hint="eastAsia" w:eastAsia="黑体"/>
          <w:sz w:val="32"/>
          <w:szCs w:val="32"/>
        </w:rPr>
        <w:t>附件</w:t>
      </w:r>
      <w:r>
        <w:rPr>
          <w:rFonts w:eastAsia="黑体"/>
          <w:sz w:val="32"/>
          <w:szCs w:val="32"/>
        </w:rPr>
        <w:t>3</w:t>
      </w:r>
    </w:p>
    <w:p>
      <w:pPr>
        <w:pStyle w:val="2"/>
        <w:spacing w:line="240" w:lineRule="auto"/>
        <w:ind w:firstLine="640"/>
        <w:rPr>
          <w:szCs w:val="32"/>
        </w:rPr>
      </w:pPr>
    </w:p>
    <w:p>
      <w:pPr>
        <w:adjustRightInd w:val="0"/>
        <w:snapToGrid w:val="0"/>
        <w:spacing w:line="600" w:lineRule="exact"/>
        <w:contextualSpacing/>
        <w:jc w:val="center"/>
        <w:rPr>
          <w:rFonts w:ascii="方正小标宋简体" w:eastAsia="方正小标宋简体"/>
          <w:color w:val="000000" w:themeColor="text1"/>
          <w:sz w:val="44"/>
          <w:szCs w:val="44"/>
          <w14:textFill>
            <w14:solidFill>
              <w14:schemeClr w14:val="tx1"/>
            </w14:solidFill>
          </w14:textFill>
        </w:rPr>
      </w:pPr>
      <w:r>
        <w:rPr>
          <w:rFonts w:ascii="方正小标宋简体" w:eastAsia="方正小标宋简体"/>
          <w:color w:val="000000" w:themeColor="text1"/>
          <w:sz w:val="44"/>
          <w:szCs w:val="44"/>
          <w14:textFill>
            <w14:solidFill>
              <w14:schemeClr w14:val="tx1"/>
            </w14:solidFill>
          </w14:textFill>
        </w:rPr>
        <w:t>2021</w:t>
      </w:r>
      <w:r>
        <w:rPr>
          <w:rFonts w:hint="eastAsia" w:ascii="方正小标宋简体" w:eastAsia="方正小标宋简体"/>
          <w:color w:val="000000" w:themeColor="text1"/>
          <w:sz w:val="44"/>
          <w:szCs w:val="44"/>
          <w14:textFill>
            <w14:solidFill>
              <w14:schemeClr w14:val="tx1"/>
            </w14:solidFill>
          </w14:textFill>
        </w:rPr>
        <w:t>年度教育综合发展专项资金</w:t>
      </w:r>
    </w:p>
    <w:p>
      <w:pPr>
        <w:adjustRightInd w:val="0"/>
        <w:snapToGrid w:val="0"/>
        <w:spacing w:line="600" w:lineRule="exact"/>
        <w:contextualSpacing/>
        <w:jc w:val="center"/>
        <w:rPr>
          <w:rFonts w:ascii="方正小标宋简体" w:eastAsia="方正小标宋简体"/>
          <w:color w:val="000000" w:themeColor="text1"/>
          <w:sz w:val="44"/>
          <w:szCs w:val="44"/>
          <w14:textFill>
            <w14:solidFill>
              <w14:schemeClr w14:val="tx1"/>
            </w14:solidFill>
          </w14:textFill>
        </w:rPr>
      </w:pPr>
      <w:r>
        <w:rPr>
          <w:rFonts w:hint="eastAsia" w:ascii="方正小标宋简体" w:eastAsia="方正小标宋简体"/>
          <w:color w:val="000000" w:themeColor="text1"/>
          <w:sz w:val="44"/>
          <w:szCs w:val="44"/>
          <w14:textFill>
            <w14:solidFill>
              <w14:schemeClr w14:val="tx1"/>
            </w14:solidFill>
          </w14:textFill>
        </w:rPr>
        <w:t>绩效评价基础数据表</w:t>
      </w:r>
    </w:p>
    <w:p>
      <w:pPr>
        <w:pStyle w:val="2"/>
        <w:spacing w:line="240" w:lineRule="auto"/>
        <w:ind w:firstLine="640"/>
        <w:rPr>
          <w:szCs w:val="32"/>
        </w:rPr>
      </w:pPr>
    </w:p>
    <w:tbl>
      <w:tblPr>
        <w:tblStyle w:val="8"/>
        <w:tblW w:w="9127" w:type="dxa"/>
        <w:tblInd w:w="0" w:type="dxa"/>
        <w:tblLayout w:type="fixed"/>
        <w:tblCellMar>
          <w:top w:w="0" w:type="dxa"/>
          <w:left w:w="0" w:type="dxa"/>
          <w:bottom w:w="0" w:type="dxa"/>
          <w:right w:w="0" w:type="dxa"/>
        </w:tblCellMar>
      </w:tblPr>
      <w:tblGrid>
        <w:gridCol w:w="370"/>
        <w:gridCol w:w="1383"/>
        <w:gridCol w:w="4196"/>
        <w:gridCol w:w="1236"/>
        <w:gridCol w:w="1239"/>
        <w:gridCol w:w="703"/>
      </w:tblGrid>
      <w:tr>
        <w:tblPrEx>
          <w:tblCellMar>
            <w:top w:w="0" w:type="dxa"/>
            <w:left w:w="0" w:type="dxa"/>
            <w:bottom w:w="0" w:type="dxa"/>
            <w:right w:w="0" w:type="dxa"/>
          </w:tblCellMar>
        </w:tblPrEx>
        <w:trPr>
          <w:tblHeader/>
        </w:trPr>
        <w:tc>
          <w:tcPr>
            <w:tcW w:w="370"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kern w:val="0"/>
                <w:szCs w:val="21"/>
              </w:rPr>
              <w:t>序号</w:t>
            </w:r>
          </w:p>
        </w:tc>
        <w:tc>
          <w:tcPr>
            <w:tcW w:w="138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kern w:val="0"/>
                <w:szCs w:val="21"/>
              </w:rPr>
              <w:t>项目名称</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spacing w:val="80"/>
                <w:kern w:val="0"/>
                <w:szCs w:val="21"/>
              </w:rPr>
              <w:t>填报内</w:t>
            </w:r>
            <w:r>
              <w:rPr>
                <w:rFonts w:hint="eastAsia" w:eastAsiaTheme="minorEastAsia"/>
                <w:bCs/>
                <w:kern w:val="0"/>
                <w:szCs w:val="21"/>
              </w:rPr>
              <w:t>容</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kern w:val="0"/>
                <w:szCs w:val="21"/>
              </w:rPr>
              <w:t>年度目标</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kern w:val="0"/>
                <w:szCs w:val="21"/>
              </w:rPr>
              <w:t>实际完成</w:t>
            </w:r>
          </w:p>
          <w:p>
            <w:pPr>
              <w:widowControl/>
              <w:spacing w:line="240" w:lineRule="exact"/>
              <w:jc w:val="center"/>
              <w:rPr>
                <w:rFonts w:eastAsiaTheme="minorEastAsia"/>
                <w:bCs/>
                <w:kern w:val="0"/>
                <w:szCs w:val="21"/>
              </w:rPr>
            </w:pPr>
            <w:r>
              <w:rPr>
                <w:rFonts w:hint="eastAsia" w:eastAsiaTheme="minorEastAsia"/>
                <w:bCs/>
                <w:kern w:val="0"/>
                <w:szCs w:val="21"/>
              </w:rPr>
              <w:t>情    况</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bCs/>
                <w:kern w:val="0"/>
                <w:szCs w:val="21"/>
              </w:rPr>
            </w:pPr>
            <w:r>
              <w:rPr>
                <w:rFonts w:hint="eastAsia" w:eastAsiaTheme="minorEastAsia"/>
                <w:bCs/>
                <w:kern w:val="0"/>
                <w:szCs w:val="21"/>
              </w:rPr>
              <w:t>备注</w:t>
            </w:r>
          </w:p>
        </w:tc>
      </w:tr>
      <w:tr>
        <w:tblPrEx>
          <w:tblCellMar>
            <w:top w:w="0" w:type="dxa"/>
            <w:left w:w="0" w:type="dxa"/>
            <w:bottom w:w="0" w:type="dxa"/>
            <w:right w:w="0" w:type="dxa"/>
          </w:tblCellMar>
        </w:tblPrEx>
        <w:trPr>
          <w:trHeight w:val="90" w:hRule="atLeast"/>
        </w:trPr>
        <w:tc>
          <w:tcPr>
            <w:tcW w:w="37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eastAsiaTheme="minorEastAsia"/>
                <w:bCs/>
                <w:kern w:val="0"/>
                <w:szCs w:val="21"/>
                <w:lang w:bidi="ar"/>
              </w:rPr>
              <w:t>1</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hint="eastAsia" w:eastAsiaTheme="minorEastAsia"/>
                <w:bCs/>
                <w:kern w:val="0"/>
                <w:szCs w:val="21"/>
                <w:lang w:bidi="ar"/>
              </w:rPr>
              <w:t>教师队伍建设</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szCs w:val="21"/>
              </w:rPr>
            </w:pPr>
            <w:r>
              <w:rPr>
                <w:rFonts w:hint="eastAsia" w:eastAsiaTheme="minorEastAsia"/>
                <w:kern w:val="0"/>
                <w:szCs w:val="21"/>
                <w:lang w:bidi="ar"/>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eastAsiaTheme="minorEastAsia"/>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eastAsiaTheme="minorEastAsia"/>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rPr>
                <w:rFonts w:eastAsiaTheme="minorEastAsia"/>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55</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55</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90"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乡村教师公费定向培养</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90"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“银龄讲学”计划省级配套支出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教师（校长）培训支出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24</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24</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芙蓉教学名师奖补</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教师综合改革与语言文字工作支出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11</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11</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公费定向师范生招生人数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教师培训人次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11</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11</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校长培训人次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50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50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芙蓉教学名师支持人数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1</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1</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招募银龄计划人数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信息能力提升工程</w:t>
            </w:r>
            <w:r>
              <w:rPr>
                <w:rFonts w:eastAsiaTheme="minorEastAsia"/>
                <w:kern w:val="0"/>
                <w:szCs w:val="21"/>
              </w:rPr>
              <w:t>2.0</w:t>
            </w:r>
            <w:r>
              <w:rPr>
                <w:rFonts w:hint="eastAsia" w:eastAsiaTheme="minorEastAsia"/>
                <w:kern w:val="0"/>
                <w:szCs w:val="21"/>
              </w:rPr>
              <w:t>考核人次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“歆语工程”培训人数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公费定向免费师范生招生计划完成率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教师培训结业率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校长培训结业率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信息能力提升工程</w:t>
            </w:r>
            <w:r>
              <w:rPr>
                <w:rFonts w:eastAsiaTheme="minorEastAsia"/>
                <w:kern w:val="0"/>
                <w:szCs w:val="21"/>
              </w:rPr>
              <w:t>2.0</w:t>
            </w:r>
            <w:r>
              <w:rPr>
                <w:rFonts w:hint="eastAsia" w:eastAsiaTheme="minorEastAsia"/>
                <w:kern w:val="0"/>
                <w:szCs w:val="21"/>
              </w:rPr>
              <w:t>考核合格率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银龄讲学招聘教师合格率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lang w:val="en-US" w:eastAsia="zh-CN"/>
              </w:rPr>
              <w:t>100%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eastAsiaTheme="minorEastAsia"/>
                <w:bCs/>
                <w:kern w:val="0"/>
                <w:szCs w:val="21"/>
                <w:lang w:bidi="ar"/>
              </w:rPr>
              <w:t>2</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bCs/>
                <w:szCs w:val="21"/>
              </w:rPr>
            </w:pPr>
            <w:r>
              <w:rPr>
                <w:rFonts w:hint="eastAsia" w:eastAsiaTheme="minorEastAsia"/>
                <w:bCs/>
                <w:kern w:val="0"/>
                <w:szCs w:val="21"/>
                <w:lang w:bidi="ar"/>
              </w:rPr>
              <w:t>教育信息化</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90"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97</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97</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省级、市县级教育信息化基础设</w:t>
            </w:r>
            <w:r>
              <w:rPr>
                <w:rFonts w:eastAsiaTheme="minorEastAsia"/>
                <w:kern w:val="0"/>
                <w:szCs w:val="21"/>
              </w:rPr>
              <w:t xml:space="preserve"> </w:t>
            </w:r>
            <w:r>
              <w:rPr>
                <w:rFonts w:hint="eastAsia" w:eastAsiaTheme="minorEastAsia"/>
                <w:kern w:val="0"/>
                <w:szCs w:val="21"/>
              </w:rPr>
              <w:t>施建设支出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97</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97</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教育网络安全支出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数字教育资源建设支出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教育公共服务平台建设支出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教育信息技术应用推广支出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教育信息化创新试点项目奖补</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2" w:hRule="atLeast"/>
        </w:trPr>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restart"/>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r>
              <w:rPr>
                <w:rFonts w:eastAsiaTheme="minorEastAsia"/>
                <w:bCs/>
                <w:kern w:val="0"/>
                <w:szCs w:val="21"/>
                <w:lang w:bidi="ar"/>
              </w:rPr>
              <w:t>2</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r>
              <w:rPr>
                <w:rFonts w:eastAsiaTheme="minorEastAsia"/>
                <w:bCs/>
                <w:kern w:val="0"/>
                <w:szCs w:val="21"/>
                <w:lang w:bidi="ar"/>
              </w:rPr>
              <w:t>教育信息化</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多媒体教室全覆盖率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“我是接班人”网络大课堂开课课时</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创建省级网络联校个数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融合应用实验区个数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智慧教育示范区个数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“我是接班人”网络大课堂收看人次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c>
          <w:tcPr>
            <w:tcW w:w="370" w:type="dxa"/>
            <w:vMerge w:val="continue"/>
            <w:tcBorders>
              <w:top w:val="nil"/>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创新试点学校个数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13</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13</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322" w:hRule="atLeast"/>
        </w:trPr>
        <w:tc>
          <w:tcPr>
            <w:tcW w:w="370" w:type="dxa"/>
            <w:vMerge w:val="continue"/>
            <w:tcBorders>
              <w:top w:val="nil"/>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建成多媒体教室间数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80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80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restart"/>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r>
              <w:rPr>
                <w:rFonts w:eastAsiaTheme="minorEastAsia"/>
                <w:bCs/>
                <w:kern w:val="0"/>
                <w:szCs w:val="21"/>
                <w:lang w:bidi="ar"/>
              </w:rPr>
              <w:t>3</w:t>
            </w:r>
          </w:p>
        </w:tc>
        <w:tc>
          <w:tcPr>
            <w:tcW w:w="1383" w:type="dxa"/>
            <w:vMerge w:val="restart"/>
            <w:tcBorders>
              <w:top w:val="single" w:color="auto"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r>
              <w:rPr>
                <w:rFonts w:hint="eastAsia" w:eastAsiaTheme="minorEastAsia"/>
                <w:bCs/>
                <w:szCs w:val="21"/>
              </w:rPr>
              <w:t>民办教育发展</w:t>
            </w: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民办学前教育支出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民办基础教育发展支出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民办高校发展支出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支持民办高校数量</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支持市州数量</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61"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kern w:val="0"/>
                <w:szCs w:val="21"/>
                <w:lang w:bidi="ar"/>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kern w:val="0"/>
                <w:szCs w:val="21"/>
                <w:lang w:bidi="ar"/>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民办高校支持数量完成率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adjustRightInd w:val="0"/>
              <w:snapToGrid w:val="0"/>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restart"/>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color w:val="0000FF"/>
                <w:szCs w:val="21"/>
              </w:rPr>
            </w:pPr>
            <w:r>
              <w:rPr>
                <w:rFonts w:eastAsiaTheme="minorEastAsia"/>
                <w:bCs/>
                <w:kern w:val="0"/>
                <w:szCs w:val="21"/>
                <w:lang w:bidi="ar"/>
              </w:rPr>
              <w:t>4</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bCs/>
                <w:szCs w:val="21"/>
              </w:rPr>
            </w:pPr>
            <w:r>
              <w:rPr>
                <w:rFonts w:hint="eastAsia" w:eastAsiaTheme="minorEastAsia"/>
                <w:bCs/>
                <w:szCs w:val="21"/>
              </w:rPr>
              <w:t>民族教育发展</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lang w:bidi="ar"/>
              </w:rPr>
            </w:pPr>
            <w:r>
              <w:rPr>
                <w:rFonts w:hint="eastAsia" w:eastAsiaTheme="minorEastAsia"/>
                <w:kern w:val="0"/>
                <w:szCs w:val="21"/>
                <w:lang w:bidi="ar"/>
              </w:rPr>
              <w:t>内地西藏班支出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lang w:bidi="ar"/>
              </w:rPr>
            </w:pPr>
            <w:r>
              <w:rPr>
                <w:rFonts w:hint="eastAsia" w:eastAsiaTheme="minorEastAsia"/>
                <w:kern w:val="0"/>
                <w:szCs w:val="21"/>
                <w:lang w:bidi="ar"/>
              </w:rPr>
              <w:t>民族教育发展项目校奖补</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内地西藏班培养学生数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民族团结教育示范校数量</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偏远教学点提升项目校数量</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nil"/>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西藏中职班生均经费人均金额</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000000" w:sz="4" w:space="0"/>
              <w:left w:val="single" w:color="000000" w:sz="4" w:space="0"/>
              <w:bottom w:val="single" w:color="auto"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内高班生均经费人均金额</w:t>
            </w:r>
          </w:p>
        </w:tc>
        <w:tc>
          <w:tcPr>
            <w:tcW w:w="1236"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auto"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restart"/>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jc w:val="center"/>
              <w:textAlignment w:val="center"/>
              <w:rPr>
                <w:rFonts w:eastAsiaTheme="minorEastAsia"/>
                <w:bCs/>
                <w:color w:val="0000FF"/>
                <w:szCs w:val="21"/>
              </w:rPr>
            </w:pPr>
            <w:r>
              <w:rPr>
                <w:rFonts w:eastAsiaTheme="minorEastAsia"/>
                <w:bCs/>
                <w:kern w:val="0"/>
                <w:szCs w:val="21"/>
                <w:lang w:bidi="ar"/>
              </w:rPr>
              <w:t>5</w:t>
            </w:r>
          </w:p>
        </w:tc>
        <w:tc>
          <w:tcPr>
            <w:tcW w:w="1383" w:type="dxa"/>
            <w:vMerge w:val="restart"/>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r>
              <w:rPr>
                <w:rFonts w:hint="eastAsia" w:eastAsiaTheme="minorEastAsia"/>
                <w:bCs/>
                <w:szCs w:val="21"/>
              </w:rPr>
              <w:t>体卫艺及国防教育竞赛</w:t>
            </w: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40</w:t>
            </w: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40</w:t>
            </w: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9"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top w:val="single" w:color="auto" w:sz="4" w:space="0"/>
              <w:left w:val="single" w:color="auto" w:sz="4" w:space="0"/>
              <w:bottom w:val="single" w:color="auto" w:sz="4" w:space="0"/>
              <w:right w:val="single" w:color="auto"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举办省级和组织参加国家级大中小学校校园足球支出</w:t>
            </w:r>
          </w:p>
        </w:tc>
        <w:tc>
          <w:tcPr>
            <w:tcW w:w="1236"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auto" w:sz="4" w:space="0"/>
              <w:bottom w:val="single" w:color="auto" w:sz="4" w:space="0"/>
              <w:right w:val="single" w:color="auto"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restart"/>
            <w:tcBorders>
              <w:top w:val="single" w:color="auto" w:sz="4" w:space="0"/>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r>
              <w:rPr>
                <w:rFonts w:eastAsiaTheme="minorEastAsia"/>
                <w:bCs/>
                <w:kern w:val="0"/>
                <w:szCs w:val="21"/>
                <w:lang w:bidi="ar"/>
              </w:rPr>
              <w:t>5</w:t>
            </w:r>
          </w:p>
        </w:tc>
        <w:tc>
          <w:tcPr>
            <w:tcW w:w="1383" w:type="dxa"/>
            <w:vMerge w:val="restart"/>
            <w:tcBorders>
              <w:top w:val="single" w:color="auto" w:sz="4" w:space="0"/>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r>
              <w:rPr>
                <w:rFonts w:eastAsiaTheme="minorEastAsia"/>
                <w:bCs/>
                <w:szCs w:val="21"/>
              </w:rPr>
              <w:t>体卫艺及国防教育竞赛</w:t>
            </w:r>
          </w:p>
        </w:tc>
        <w:tc>
          <w:tcPr>
            <w:tcW w:w="419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开展重大传染性疾病疫情防治宣传教育支出</w:t>
            </w:r>
          </w:p>
        </w:tc>
        <w:tc>
          <w:tcPr>
            <w:tcW w:w="1236"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auto"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体卫艺与国防教育赛事及活动支出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40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40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90"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color w:val="FF0000"/>
                <w:kern w:val="0"/>
                <w:szCs w:val="21"/>
              </w:rPr>
            </w:pPr>
            <w:r>
              <w:rPr>
                <w:rFonts w:hint="eastAsia" w:eastAsiaTheme="minorEastAsia"/>
                <w:bCs/>
                <w:color w:val="FF0000"/>
                <w:kern w:val="0"/>
                <w:szCs w:val="21"/>
              </w:rPr>
              <w:t>校园足球专项培训班期数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color w:val="FF0000"/>
                <w:kern w:val="0"/>
                <w:szCs w:val="21"/>
              </w:rPr>
            </w:pPr>
            <w:r>
              <w:rPr>
                <w:rFonts w:hint="eastAsia" w:eastAsiaTheme="minorEastAsia"/>
                <w:color w:val="FF0000"/>
                <w:kern w:val="0"/>
                <w:szCs w:val="21"/>
              </w:rPr>
              <w:t>校园足球专项培训人次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color w:val="FF0000"/>
                <w:kern w:val="0"/>
                <w:szCs w:val="21"/>
              </w:rPr>
            </w:pPr>
            <w:r>
              <w:rPr>
                <w:rFonts w:hint="eastAsia" w:eastAsiaTheme="minorEastAsia"/>
                <w:color w:val="FF0000"/>
                <w:kern w:val="0"/>
                <w:szCs w:val="21"/>
              </w:rPr>
              <w:t>创建校园足球特色学校、幼儿园</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支持全国青少年校园足球特色学校建设</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支持国家级校园足球改革试验区、国家级校园足球“满天星”训练营建设</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支持省级校园足球试点县市区建设、省级高中较高水平足球队建设基地建设</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建设省级戏曲进校园特色小学</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建设省级综合防控儿童青少年近视试点县市区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建设省级综合防控儿童青少年近视示范学校</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体育（含校园足球）、艺术、国防教育竞赛活动次数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学校体卫艺及国防教育培训</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学校食品安全、传染病防控交流、培训</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left"/>
              <w:textAlignment w:val="center"/>
              <w:rPr>
                <w:rFonts w:eastAsiaTheme="minorEastAsia"/>
                <w:kern w:val="0"/>
                <w:szCs w:val="21"/>
              </w:rPr>
            </w:pPr>
            <w:r>
              <w:rPr>
                <w:rFonts w:hint="eastAsia" w:eastAsiaTheme="minorEastAsia"/>
                <w:color w:val="000000"/>
                <w:kern w:val="0"/>
                <w:sz w:val="20"/>
                <w:szCs w:val="20"/>
                <w:lang w:bidi="ar"/>
              </w:rPr>
              <w:t>组队参加第十四届全国学生运动会竞赛项目</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校园足球专项培训满意率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default" w:eastAsiaTheme="minorEastAsia"/>
                <w:kern w:val="0"/>
                <w:szCs w:val="21"/>
                <w:lang w:val="en-US" w:eastAsia="zh-CN"/>
              </w:rPr>
            </w:pPr>
            <w:r>
              <w:rPr>
                <w:rFonts w:hint="eastAsia" w:eastAsiaTheme="minorEastAsia"/>
                <w:kern w:val="0"/>
                <w:szCs w:val="21"/>
                <w:lang w:val="en-US" w:eastAsia="zh-CN"/>
              </w:rPr>
              <w:t>100%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lang w:val="en-US" w:eastAsia="zh-CN"/>
              </w:rPr>
              <w:t>100%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校园足球竞赛及活动无事故率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lang w:val="en-US" w:eastAsia="zh-CN"/>
              </w:rPr>
              <w:t>100%</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lang w:val="en-US" w:eastAsia="zh-CN"/>
              </w:rPr>
              <w:t>100%</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学生血防知识知晓率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建制班合唱比赛参与率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儿童青少年近视率降低率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支持国家级校园足球“满天星”训练营建设个数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color w:val="0000FF"/>
                <w:szCs w:val="21"/>
              </w:rPr>
            </w:pPr>
          </w:p>
        </w:tc>
        <w:tc>
          <w:tcPr>
            <w:tcW w:w="1383" w:type="dxa"/>
            <w:vMerge w:val="continue"/>
            <w:tcBorders>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支持省级校园足球试点县市区建设个数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eastAsiaTheme="minorEastAsia"/>
                <w:bCs/>
                <w:kern w:val="0"/>
                <w:szCs w:val="21"/>
                <w:lang w:bidi="ar"/>
              </w:rPr>
              <w:t>6</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hint="eastAsia" w:eastAsiaTheme="minorEastAsia"/>
                <w:bCs/>
                <w:kern w:val="0"/>
                <w:szCs w:val="21"/>
                <w:lang w:bidi="ar"/>
              </w:rPr>
              <w:t>学生资助</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生源地信用助学贷款贴息和风险补偿支出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来华留学生奖学金支出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贷款金额（亿元））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贷款人数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语言生奖学金名额个数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本科留学生奖学金指标（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研究生留学生奖学金指标（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建档立卡学生覆盖率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风险补偿金比例（</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补贴利息利率</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66"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留学生奖励标准</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restart"/>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jc w:val="center"/>
              <w:textAlignment w:val="center"/>
              <w:rPr>
                <w:rFonts w:eastAsiaTheme="minorEastAsia"/>
                <w:bCs/>
                <w:szCs w:val="21"/>
              </w:rPr>
            </w:pPr>
            <w:r>
              <w:rPr>
                <w:rFonts w:eastAsiaTheme="minorEastAsia"/>
                <w:bCs/>
                <w:kern w:val="0"/>
                <w:szCs w:val="21"/>
                <w:lang w:bidi="ar"/>
              </w:rPr>
              <w:t>7</w:t>
            </w:r>
          </w:p>
        </w:tc>
        <w:tc>
          <w:tcPr>
            <w:tcW w:w="1383"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widowControl/>
              <w:jc w:val="center"/>
              <w:textAlignment w:val="center"/>
              <w:rPr>
                <w:rFonts w:eastAsiaTheme="minorEastAsia"/>
                <w:bCs/>
                <w:szCs w:val="21"/>
              </w:rPr>
            </w:pPr>
            <w:r>
              <w:rPr>
                <w:rFonts w:hint="eastAsia" w:eastAsiaTheme="minorEastAsia"/>
                <w:bCs/>
                <w:szCs w:val="21"/>
              </w:rPr>
              <w:t>教育综合管机制改革</w:t>
            </w: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一、资金到位情况（万元）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省级财政专项资金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其他财政专项资金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行业主管部门和企业投入资金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地方自筹资金</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二、资金支出情况（万元）</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教育体制改革试点支出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教育督导评估支出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民办高校党建支出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平安学校建设（含安全宣传教育）支出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5</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成人教育和其他综合改革发展支出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45"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外资配套支出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其他支出</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center"/>
              <w:rPr>
                <w:rFonts w:eastAsiaTheme="minorEastAsia"/>
                <w:kern w:val="0"/>
                <w:szCs w:val="21"/>
              </w:rPr>
            </w:pPr>
            <w:r>
              <w:rPr>
                <w:rFonts w:hint="eastAsia" w:eastAsiaTheme="minorEastAsia"/>
                <w:bCs/>
                <w:kern w:val="0"/>
                <w:szCs w:val="21"/>
              </w:rPr>
              <w:t>三、绩效情况</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0"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立项平安学校建设示范县市区个数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1</w:t>
            </w: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hint="eastAsia" w:eastAsiaTheme="minorEastAsia"/>
                <w:kern w:val="0"/>
                <w:szCs w:val="21"/>
                <w:lang w:val="en-US" w:eastAsia="zh-CN"/>
              </w:rPr>
            </w:pPr>
            <w:r>
              <w:rPr>
                <w:rFonts w:hint="eastAsia" w:eastAsiaTheme="minorEastAsia"/>
                <w:kern w:val="0"/>
                <w:szCs w:val="21"/>
                <w:lang w:val="en-US" w:eastAsia="zh-CN"/>
              </w:rPr>
              <w:t>1</w:t>
            </w: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立项平安高校示范校个数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立项中小学幼儿园平安建设示范校园个数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县级政府教育工作“两项督导评估考核”奖励个数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中小学校责任督学挂牌督导创新县市区奖励个数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bCs/>
                <w:kern w:val="0"/>
                <w:szCs w:val="21"/>
              </w:rPr>
            </w:pPr>
            <w:r>
              <w:rPr>
                <w:rFonts w:hint="eastAsia" w:eastAsiaTheme="minorEastAsia"/>
                <w:bCs/>
                <w:kern w:val="0"/>
                <w:szCs w:val="21"/>
              </w:rPr>
              <w:t>对省、市州和县市区所属高中开展督导比例（</w:t>
            </w:r>
            <w:r>
              <w:rPr>
                <w:rFonts w:eastAsiaTheme="minorEastAsia"/>
                <w:bCs/>
                <w:kern w:val="0"/>
                <w:szCs w:val="21"/>
              </w:rPr>
              <w:t>%</w:t>
            </w:r>
            <w:r>
              <w:rPr>
                <w:rFonts w:hint="eastAsia" w:eastAsiaTheme="minorEastAsia"/>
                <w:bCs/>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教育督导评估监测购买服务个数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教育督导培训人数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通过以色列贷款项目增加仪器设备套数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教育规划课题发表论文篇数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教育规划课题形成研究报告</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出版著作、译著部数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教育课题成果被其他杂志引用转载报道篇数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教育课题成果在区县级以上会议被推广篇数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全国教育科学规划课题立项数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高校人防、物防和技防符合反恐比例（</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中小学达到三个百分之百年度工作要求完成率（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在</w:t>
            </w:r>
            <w:r>
              <w:rPr>
                <w:rFonts w:eastAsiaTheme="minorEastAsia"/>
                <w:kern w:val="0"/>
                <w:szCs w:val="21"/>
              </w:rPr>
              <w:t>CSSCI</w:t>
            </w:r>
            <w:r>
              <w:rPr>
                <w:rFonts w:hint="eastAsia" w:eastAsiaTheme="minorEastAsia"/>
                <w:kern w:val="0"/>
                <w:szCs w:val="21"/>
              </w:rPr>
              <w:t>期刊、中文核心期刊发表论文数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国家一级出版社出版著作数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课题会议鉴定结题优良率（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规划课题立项三年结题率（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规划课题立项当年开题率（</w:t>
            </w:r>
            <w:r>
              <w:rPr>
                <w:rFonts w:eastAsiaTheme="minorEastAsia"/>
                <w:kern w:val="0"/>
                <w:szCs w:val="21"/>
              </w:rPr>
              <w:t>%</w:t>
            </w:r>
            <w:r>
              <w:rPr>
                <w:rFonts w:hint="eastAsia" w:eastAsiaTheme="minorEastAsia"/>
                <w:kern w:val="0"/>
                <w:szCs w:val="21"/>
              </w:rPr>
              <w:t>）</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r>
        <w:tblPrEx>
          <w:tblCellMar>
            <w:top w:w="0" w:type="dxa"/>
            <w:left w:w="0" w:type="dxa"/>
            <w:bottom w:w="0" w:type="dxa"/>
            <w:right w:w="0" w:type="dxa"/>
          </w:tblCellMar>
        </w:tblPrEx>
        <w:trPr>
          <w:trHeight w:val="253" w:hRule="atLeast"/>
        </w:trPr>
        <w:tc>
          <w:tcPr>
            <w:tcW w:w="370" w:type="dxa"/>
            <w:vMerge w:val="continue"/>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center"/>
              <w:rPr>
                <w:rFonts w:eastAsiaTheme="minorEastAsia"/>
                <w:bCs/>
                <w:szCs w:val="21"/>
              </w:rPr>
            </w:pPr>
          </w:p>
        </w:tc>
        <w:tc>
          <w:tcPr>
            <w:tcW w:w="1383"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eastAsiaTheme="minorEastAsia"/>
                <w:bCs/>
                <w:szCs w:val="21"/>
              </w:rPr>
            </w:pPr>
          </w:p>
        </w:tc>
        <w:tc>
          <w:tcPr>
            <w:tcW w:w="419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r>
              <w:rPr>
                <w:rFonts w:hint="eastAsia" w:eastAsiaTheme="minorEastAsia"/>
                <w:kern w:val="0"/>
                <w:szCs w:val="21"/>
              </w:rPr>
              <w:t>申请专利数个数</w:t>
            </w:r>
          </w:p>
        </w:tc>
        <w:tc>
          <w:tcPr>
            <w:tcW w:w="1236"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1239"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c>
          <w:tcPr>
            <w:tcW w:w="703" w:type="dxa"/>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widowControl/>
              <w:spacing w:line="240" w:lineRule="exact"/>
              <w:jc w:val="left"/>
              <w:rPr>
                <w:rFonts w:eastAsiaTheme="minorEastAsia"/>
                <w:kern w:val="0"/>
                <w:szCs w:val="21"/>
              </w:rPr>
            </w:pPr>
          </w:p>
        </w:tc>
      </w:tr>
    </w:tbl>
    <w:p>
      <w:pPr>
        <w:pStyle w:val="2"/>
        <w:sectPr>
          <w:footerReference r:id="rId3" w:type="default"/>
          <w:footerReference r:id="rId4" w:type="even"/>
          <w:pgSz w:w="11850" w:h="16838"/>
          <w:pgMar w:top="1701" w:right="1418" w:bottom="1418" w:left="1418" w:header="851" w:footer="992" w:gutter="0"/>
          <w:cols w:space="0" w:num="1"/>
          <w:titlePg/>
          <w:docGrid w:linePitch="319" w:charSpace="0"/>
        </w:sectPr>
      </w:pPr>
    </w:p>
    <w:p>
      <w:pPr>
        <w:spacing w:line="600" w:lineRule="exact"/>
      </w:pPr>
    </w:p>
    <w:sectPr>
      <w:headerReference r:id="rId5" w:type="default"/>
      <w:footerReference r:id="rId6" w:type="default"/>
      <w:pgSz w:w="11905" w:h="16838"/>
      <w:pgMar w:top="1701" w:right="1418" w:bottom="1418" w:left="1418" w:header="720" w:footer="992" w:gutter="0"/>
      <w:cols w:space="0" w:num="1"/>
      <w:docGrid w:linePitch="31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Tahoma">
    <w:panose1 w:val="020B0604030504040204"/>
    <w:charset w:val="00"/>
    <w:family w:val="swiss"/>
    <w:pitch w:val="default"/>
    <w:sig w:usb0="E1002EFF" w:usb1="C000605B" w:usb2="00000029" w:usb3="00000000" w:csb0="200101FF" w:csb1="2028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script"/>
    <w:pitch w:val="default"/>
    <w:sig w:usb0="00000001" w:usb1="080E0000" w:usb2="00000000" w:usb3="00000000" w:csb0="00040000" w:csb1="00000000"/>
  </w:font>
  <w:font w:name="方正小标宋简体">
    <w:altName w:val="Arial Unicode MS"/>
    <w:panose1 w:val="03000509000000000000"/>
    <w:charset w:val="86"/>
    <w:family w:val="script"/>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imes New Roman" w:hAnsi="Times New Roman" w:eastAsia="仿宋_GB2312" w:cs="Times New Roman"/>
        <w:sz w:val="28"/>
        <w:szCs w:val="28"/>
      </w:rPr>
    </w:pPr>
    <w:r>
      <w:rPr>
        <w:rFonts w:hint="eastAsia" w:ascii="Times New Roman" w:hAnsi="Times New Roman" w:eastAsia="仿宋_GB2312" w:cs="Times New Roman"/>
        <w:sz w:val="28"/>
        <w:szCs w:val="28"/>
      </w:rPr>
      <w:t xml:space="preserve">－ </w:t>
    </w:r>
    <w:r>
      <w:rPr>
        <w:rFonts w:hint="eastAsia" w:ascii="Times New Roman" w:hAnsi="Times New Roman" w:eastAsia="仿宋_GB2312" w:cs="Times New Roman"/>
        <w:sz w:val="28"/>
        <w:szCs w:val="28"/>
      </w:rPr>
      <w:fldChar w:fldCharType="begin"/>
    </w:r>
    <w:r>
      <w:rPr>
        <w:rFonts w:ascii="Times New Roman" w:hAnsi="Times New Roman" w:eastAsia="仿宋_GB2312" w:cs="Times New Roman"/>
        <w:sz w:val="28"/>
        <w:szCs w:val="28"/>
      </w:rPr>
      <w:instrText xml:space="preserve">PAGE   \* MERGEFORMAT</w:instrText>
    </w:r>
    <w:r>
      <w:rPr>
        <w:rFonts w:hint="eastAsia" w:ascii="Times New Roman" w:hAnsi="Times New Roman" w:eastAsia="仿宋_GB2312" w:cs="Times New Roman"/>
        <w:sz w:val="28"/>
        <w:szCs w:val="28"/>
      </w:rPr>
      <w:fldChar w:fldCharType="separate"/>
    </w:r>
    <w:r>
      <w:rPr>
        <w:rFonts w:ascii="Times New Roman" w:hAnsi="Times New Roman" w:eastAsia="仿宋_GB2312" w:cs="Times New Roman"/>
        <w:sz w:val="28"/>
        <w:szCs w:val="28"/>
        <w:lang w:val="zh-CN"/>
      </w:rPr>
      <w:t>32</w:t>
    </w:r>
    <w:r>
      <w:rPr>
        <w:rFonts w:hint="eastAsia" w:ascii="Times New Roman" w:hAnsi="Times New Roman" w:eastAsia="仿宋_GB2312" w:cs="Times New Roman"/>
        <w:sz w:val="28"/>
        <w:szCs w:val="28"/>
      </w:rPr>
      <w:fldChar w:fldCharType="end"/>
    </w:r>
    <w:r>
      <w:rPr>
        <w:rFonts w:hint="eastAsia" w:ascii="Times New Roman" w:hAnsi="Times New Roman" w:eastAsia="仿宋_GB2312" w:cs="Times New Roman"/>
        <w:sz w:val="28"/>
        <w:szCs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99205162"/>
    </w:sdtPr>
    <w:sdtEndPr>
      <w:rPr>
        <w:rFonts w:ascii="Times New Roman" w:hAnsi="Times New Roman" w:cs="Times New Roman"/>
        <w:sz w:val="28"/>
        <w:szCs w:val="28"/>
      </w:rPr>
    </w:sdtEndPr>
    <w:sdtContent>
      <w:p>
        <w:pPr>
          <w:pStyle w:val="5"/>
          <w:rPr>
            <w:rFonts w:ascii="Times New Roman" w:hAnsi="Times New Roman" w:cs="Times New Roman"/>
            <w:sz w:val="28"/>
            <w:szCs w:val="28"/>
          </w:rPr>
        </w:pPr>
        <w:r>
          <w:rPr>
            <w:rFonts w:ascii="Times New Roman" w:hAnsi="Times New Roman" w:cs="Times New Roman"/>
            <w:sz w:val="28"/>
            <w:szCs w:val="28"/>
          </w:rPr>
          <w:t>－</w:t>
        </w: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36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70829643"/>
    </w:sdtPr>
    <w:sdtEndPr>
      <w:rPr>
        <w:rFonts w:ascii="Times New Roman" w:hAnsi="Times New Roman" w:cs="Times New Roman"/>
        <w:sz w:val="28"/>
        <w:szCs w:val="28"/>
      </w:rPr>
    </w:sdtEndPr>
    <w:sdtContent>
      <w:p>
        <w:pPr>
          <w:pStyle w:val="5"/>
          <w:jc w:val="right"/>
          <w:rPr>
            <w:rFonts w:ascii="Times New Roman" w:hAnsi="Times New Roman" w:cs="Times New Roman"/>
            <w:sz w:val="28"/>
            <w:szCs w:val="28"/>
          </w:rPr>
        </w:pPr>
        <w:r>
          <w:rPr>
            <w:rFonts w:ascii="Times New Roman" w:hAnsi="Times New Roman" w:cs="Times New Roman"/>
            <w:sz w:val="28"/>
            <w:szCs w:val="28"/>
          </w:rPr>
          <w:t>－</w:t>
        </w:r>
        <w:r>
          <w:rPr>
            <w:rFonts w:hint="eastAsia" w:ascii="Times New Roman" w:hAnsi="Times New Roman" w:cs="Times New Roman"/>
            <w:sz w:val="28"/>
            <w:szCs w:val="28"/>
          </w:rPr>
          <w:t xml:space="preserve">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PAGE   \* MERGEFORMAT</w:instrText>
        </w:r>
        <w:r>
          <w:rPr>
            <w:rFonts w:ascii="Times New Roman" w:hAnsi="Times New Roman" w:cs="Times New Roman"/>
            <w:sz w:val="28"/>
            <w:szCs w:val="28"/>
          </w:rPr>
          <w:fldChar w:fldCharType="separate"/>
        </w:r>
        <w:r>
          <w:rPr>
            <w:rFonts w:ascii="Times New Roman" w:hAnsi="Times New Roman" w:cs="Times New Roman"/>
            <w:sz w:val="28"/>
            <w:szCs w:val="28"/>
            <w:lang w:val="zh-CN"/>
          </w:rPr>
          <w:t>46</w:t>
        </w:r>
        <w:r>
          <w:rPr>
            <w:rFonts w:ascii="Times New Roman" w:hAnsi="Times New Roman" w:cs="Times New Roman"/>
            <w:sz w:val="28"/>
            <w:szCs w:val="28"/>
          </w:rPr>
          <w:fldChar w:fldCharType="end"/>
        </w:r>
        <w:r>
          <w:rPr>
            <w:rFonts w:ascii="Times New Roman" w:hAnsi="Times New Roman" w:cs="Times New Roman"/>
            <w:sz w:val="28"/>
            <w:szCs w:val="28"/>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E3A5FA8"/>
    <w:multiLevelType w:val="singleLevel"/>
    <w:tmpl w:val="9E3A5FA8"/>
    <w:lvl w:ilvl="0" w:tentative="0">
      <w:start w:val="1"/>
      <w:numFmt w:val="decimal"/>
      <w:suff w:val="nothing"/>
      <w:lvlText w:val="%1、"/>
      <w:lvlJc w:val="left"/>
    </w:lvl>
  </w:abstractNum>
  <w:abstractNum w:abstractNumId="1">
    <w:nsid w:val="CE4558FE"/>
    <w:multiLevelType w:val="singleLevel"/>
    <w:tmpl w:val="CE4558FE"/>
    <w:lvl w:ilvl="0" w:tentative="0">
      <w:start w:val="2"/>
      <w:numFmt w:val="chineseCounting"/>
      <w:suff w:val="nothing"/>
      <w:lvlText w:val="（%1）"/>
      <w:lvlJc w:val="left"/>
      <w:rPr>
        <w:rFonts w:hint="eastAsia"/>
      </w:rPr>
    </w:lvl>
  </w:abstractNum>
  <w:abstractNum w:abstractNumId="2">
    <w:nsid w:val="1DD39D7B"/>
    <w:multiLevelType w:val="singleLevel"/>
    <w:tmpl w:val="1DD39D7B"/>
    <w:lvl w:ilvl="0" w:tentative="0">
      <w:start w:val="2"/>
      <w:numFmt w:val="chineseCounting"/>
      <w:suff w:val="nothing"/>
      <w:lvlText w:val="（%1）"/>
      <w:lvlJc w:val="left"/>
      <w:rPr>
        <w:rFonts w:hint="eastAsia"/>
      </w:rPr>
    </w:lvl>
  </w:abstractNum>
  <w:abstractNum w:abstractNumId="3">
    <w:nsid w:val="1F8E313A"/>
    <w:multiLevelType w:val="singleLevel"/>
    <w:tmpl w:val="1F8E313A"/>
    <w:lvl w:ilvl="0" w:tentative="0">
      <w:start w:val="2"/>
      <w:numFmt w:val="chineseCounting"/>
      <w:suff w:val="nothing"/>
      <w:lvlText w:val="（%1）"/>
      <w:lvlJc w:val="left"/>
      <w:rPr>
        <w:rFonts w:hint="eastAsia"/>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WI3MGFhYTk2MmUzOTY0NWQyYTljZmRkMjg1Mzk2NDIifQ=="/>
  </w:docVars>
  <w:rsids>
    <w:rsidRoot w:val="2232133D"/>
    <w:rsid w:val="0023326B"/>
    <w:rsid w:val="00AF47B3"/>
    <w:rsid w:val="00C47119"/>
    <w:rsid w:val="00F35195"/>
    <w:rsid w:val="0C02670E"/>
    <w:rsid w:val="0EFF1177"/>
    <w:rsid w:val="15A724F6"/>
    <w:rsid w:val="179C48F3"/>
    <w:rsid w:val="2232133D"/>
    <w:rsid w:val="224E62DA"/>
    <w:rsid w:val="23977AC1"/>
    <w:rsid w:val="2ACF0F47"/>
    <w:rsid w:val="2CAE43A4"/>
    <w:rsid w:val="306A6702"/>
    <w:rsid w:val="37635687"/>
    <w:rsid w:val="3ACD6B54"/>
    <w:rsid w:val="4B4B11F4"/>
    <w:rsid w:val="4CB36995"/>
    <w:rsid w:val="51686936"/>
    <w:rsid w:val="56D26F09"/>
    <w:rsid w:val="5F6A064F"/>
    <w:rsid w:val="64735FA2"/>
    <w:rsid w:val="74273CFD"/>
    <w:rsid w:val="76436BF1"/>
    <w:rsid w:val="79C7027F"/>
    <w:rsid w:val="7EF707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customStyle="1" w:styleId="2">
    <w:name w:val="无间隔1"/>
    <w:qFormat/>
    <w:uiPriority w:val="1"/>
    <w:pPr>
      <w:adjustRightInd w:val="0"/>
      <w:snapToGrid w:val="0"/>
      <w:spacing w:line="360" w:lineRule="auto"/>
      <w:ind w:firstLine="200" w:firstLineChars="200"/>
    </w:pPr>
    <w:rPr>
      <w:rFonts w:ascii="Tahoma" w:hAnsi="Tahoma" w:eastAsia="仿宋_GB2312" w:cs="Times New Roman"/>
      <w:sz w:val="32"/>
      <w:szCs w:val="22"/>
      <w:lang w:val="en-US" w:eastAsia="zh-CN" w:bidi="ar-SA"/>
    </w:rPr>
  </w:style>
  <w:style w:type="paragraph" w:styleId="3">
    <w:name w:val="Body Text Indent"/>
    <w:basedOn w:val="1"/>
    <w:qFormat/>
    <w:uiPriority w:val="99"/>
    <w:pPr>
      <w:spacing w:after="120"/>
      <w:ind w:left="420" w:leftChars="200"/>
    </w:pPr>
  </w:style>
  <w:style w:type="paragraph" w:styleId="4">
    <w:name w:val="Balloon Text"/>
    <w:basedOn w:val="1"/>
    <w:link w:val="12"/>
    <w:qFormat/>
    <w:uiPriority w:val="0"/>
    <w:rPr>
      <w:sz w:val="18"/>
      <w:szCs w:val="18"/>
    </w:rPr>
  </w:style>
  <w:style w:type="paragraph" w:styleId="5">
    <w:name w:val="footer"/>
    <w:basedOn w:val="1"/>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7">
    <w:name w:val="Body Text First Indent 2"/>
    <w:basedOn w:val="3"/>
    <w:qFormat/>
    <w:uiPriority w:val="99"/>
    <w:pPr>
      <w:widowControl/>
      <w:spacing w:afterLines="100" w:line="360" w:lineRule="auto"/>
      <w:ind w:left="200" w:firstLine="210" w:firstLineChars="200"/>
      <w:jc w:val="left"/>
    </w:pPr>
    <w:rPr>
      <w:kern w:val="28"/>
      <w:sz w:val="24"/>
      <w:lang w:val="zh-CN"/>
    </w:rPr>
  </w:style>
  <w:style w:type="table" w:styleId="9">
    <w:name w:val="Table Grid"/>
    <w:basedOn w:val="8"/>
    <w:qFormat/>
    <w:uiPriority w:val="39"/>
    <w:rPr>
      <w:rFonts w:ascii="Calibri" w:hAnsi="Calibri"/>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11">
    <w:name w:val="List Paragraph"/>
    <w:basedOn w:val="1"/>
    <w:qFormat/>
    <w:uiPriority w:val="99"/>
    <w:pPr>
      <w:ind w:firstLine="420" w:firstLineChars="200"/>
    </w:pPr>
    <w:rPr>
      <w:rFonts w:ascii="Calibri" w:hAnsi="Calibri"/>
      <w:szCs w:val="22"/>
    </w:rPr>
  </w:style>
  <w:style w:type="character" w:customStyle="1" w:styleId="12">
    <w:name w:val="批注框文本 Char"/>
    <w:basedOn w:val="10"/>
    <w:link w:val="4"/>
    <w:qFormat/>
    <w:uiPriority w:val="0"/>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P R C</Company>
  <Pages>13</Pages>
  <Words>5142</Words>
  <Characters>5230</Characters>
  <Lines>59</Lines>
  <Paragraphs>53</Paragraphs>
  <TotalTime>2</TotalTime>
  <ScaleCrop>false</ScaleCrop>
  <LinksUpToDate>false</LinksUpToDate>
  <CharactersWithSpaces>5241</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2022-05-06T08:11:00Z</dcterms:created>
  <dc:creator>刘旭日</dc:creator>
  <cp:lastModifiedBy>杨帆</cp:lastModifiedBy>
  <cp:lastPrinted>2022-05-06T08:11:00Z</cp:lastPrinted>
  <dcterms:modified xsi:type="dcterms:W3CDTF">2022-05-16T07:28:38Z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7F1974FD17614D2DA209D5A48F839C1C</vt:lpwstr>
  </property>
</Properties>
</file>