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701" w:lineRule="exact"/>
        <w:ind w:left="1031"/>
      </w:pPr>
      <w:bookmarkStart w:id="0" w:name="_GoBack"/>
      <w:bookmarkEnd w:id="0"/>
      <w:r>
        <w:rPr>
          <w:rFonts w:hint="eastAsia"/>
        </w:rPr>
        <w:t>沅江</w:t>
      </w:r>
      <w:r>
        <w:t>转移支付区域(项目)绩效目标自评表</w:t>
      </w:r>
    </w:p>
    <w:tbl>
      <w:tblPr>
        <w:tblStyle w:val="7"/>
        <w:tblpPr w:leftFromText="180" w:rightFromText="180" w:vertAnchor="text" w:horzAnchor="margin" w:tblpXSpec="center" w:tblpY="2"/>
        <w:tblW w:w="884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9"/>
        <w:gridCol w:w="553"/>
        <w:gridCol w:w="870"/>
        <w:gridCol w:w="1710"/>
        <w:gridCol w:w="1455"/>
        <w:gridCol w:w="1005"/>
        <w:gridCol w:w="160"/>
        <w:gridCol w:w="742"/>
        <w:gridCol w:w="17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2032" w:type="dxa"/>
            <w:gridSpan w:val="3"/>
          </w:tcPr>
          <w:p>
            <w:pPr>
              <w:pStyle w:val="11"/>
              <w:spacing w:before="15" w:line="187" w:lineRule="exact"/>
              <w:ind w:left="21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转移支付（项目）名称</w:t>
            </w:r>
          </w:p>
        </w:tc>
        <w:tc>
          <w:tcPr>
            <w:tcW w:w="6812" w:type="dxa"/>
            <w:gridSpan w:val="6"/>
          </w:tcPr>
          <w:p>
            <w:pPr>
              <w:pStyle w:val="11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支持学前教育发展资金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2032" w:type="dxa"/>
            <w:gridSpan w:val="3"/>
          </w:tcPr>
          <w:p>
            <w:pPr>
              <w:pStyle w:val="11"/>
              <w:spacing w:before="15" w:line="187" w:lineRule="exact"/>
              <w:ind w:left="53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中央主管部门</w:t>
            </w:r>
          </w:p>
        </w:tc>
        <w:tc>
          <w:tcPr>
            <w:tcW w:w="6812" w:type="dxa"/>
            <w:gridSpan w:val="6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教育部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2032" w:type="dxa"/>
            <w:gridSpan w:val="3"/>
          </w:tcPr>
          <w:p>
            <w:pPr>
              <w:pStyle w:val="11"/>
              <w:spacing w:before="16" w:line="187" w:lineRule="exact"/>
              <w:ind w:left="53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地方主管部门</w:t>
            </w:r>
          </w:p>
        </w:tc>
        <w:tc>
          <w:tcPr>
            <w:tcW w:w="3165" w:type="dxa"/>
            <w:gridSpan w:val="2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省教育厅</w:t>
            </w:r>
          </w:p>
        </w:tc>
        <w:tc>
          <w:tcPr>
            <w:tcW w:w="1165" w:type="dxa"/>
            <w:gridSpan w:val="2"/>
          </w:tcPr>
          <w:p>
            <w:pPr>
              <w:pStyle w:val="11"/>
              <w:spacing w:before="16" w:line="187" w:lineRule="exact"/>
              <w:ind w:left="81" w:right="70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资金使用单位</w:t>
            </w:r>
          </w:p>
        </w:tc>
        <w:tc>
          <w:tcPr>
            <w:tcW w:w="2482" w:type="dxa"/>
            <w:gridSpan w:val="2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沅江市教育局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2032" w:type="dxa"/>
            <w:gridSpan w:val="3"/>
            <w:vMerge w:val="restart"/>
          </w:tcPr>
          <w:p>
            <w:pPr>
              <w:pStyle w:val="11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1"/>
              <w:spacing w:before="1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1"/>
              <w:ind w:left="3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资金</w:t>
            </w:r>
            <w:r>
              <w:rPr>
                <w:rFonts w:hint="eastAsia"/>
                <w:sz w:val="16"/>
                <w:szCs w:val="16"/>
              </w:rPr>
              <w:t>情况</w:t>
            </w:r>
            <w:r>
              <w:rPr>
                <w:sz w:val="16"/>
                <w:szCs w:val="16"/>
              </w:rPr>
              <w:t>（万元）</w:t>
            </w:r>
          </w:p>
        </w:tc>
        <w:tc>
          <w:tcPr>
            <w:tcW w:w="171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455" w:type="dxa"/>
          </w:tcPr>
          <w:p>
            <w:pPr>
              <w:pStyle w:val="11"/>
              <w:spacing w:before="16" w:line="186" w:lineRule="exact"/>
              <w:ind w:left="12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全年预算数（A）</w:t>
            </w:r>
          </w:p>
        </w:tc>
        <w:tc>
          <w:tcPr>
            <w:tcW w:w="1907" w:type="dxa"/>
            <w:gridSpan w:val="3"/>
          </w:tcPr>
          <w:p>
            <w:pPr>
              <w:pStyle w:val="11"/>
              <w:spacing w:before="16" w:line="186" w:lineRule="exact"/>
              <w:ind w:left="35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全年执行数（B）</w:t>
            </w:r>
          </w:p>
        </w:tc>
        <w:tc>
          <w:tcPr>
            <w:tcW w:w="1740" w:type="dxa"/>
            <w:vAlign w:val="center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预算执行率（B/A）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2032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710" w:type="dxa"/>
          </w:tcPr>
          <w:p>
            <w:pPr>
              <w:pStyle w:val="11"/>
              <w:spacing w:before="17" w:line="186" w:lineRule="exact"/>
              <w:ind w:left="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年度资金总额：</w:t>
            </w:r>
          </w:p>
        </w:tc>
        <w:tc>
          <w:tcPr>
            <w:tcW w:w="1455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2384.5</w:t>
            </w:r>
          </w:p>
        </w:tc>
        <w:tc>
          <w:tcPr>
            <w:tcW w:w="1907" w:type="dxa"/>
            <w:gridSpan w:val="3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2384.5</w:t>
            </w: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2032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710" w:type="dxa"/>
          </w:tcPr>
          <w:p>
            <w:pPr>
              <w:pStyle w:val="11"/>
              <w:spacing w:before="14" w:line="188" w:lineRule="exact"/>
              <w:ind w:left="9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其中：中央</w:t>
            </w:r>
            <w:r>
              <w:rPr>
                <w:rFonts w:hint="eastAsia"/>
                <w:sz w:val="16"/>
                <w:szCs w:val="16"/>
              </w:rPr>
              <w:t>财政资金</w:t>
            </w:r>
          </w:p>
        </w:tc>
        <w:tc>
          <w:tcPr>
            <w:tcW w:w="1455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1986</w:t>
            </w:r>
          </w:p>
        </w:tc>
        <w:tc>
          <w:tcPr>
            <w:tcW w:w="1907" w:type="dxa"/>
            <w:gridSpan w:val="3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1986</w:t>
            </w: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2032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710" w:type="dxa"/>
          </w:tcPr>
          <w:p>
            <w:pPr>
              <w:pStyle w:val="11"/>
              <w:spacing w:before="15" w:line="188" w:lineRule="exact"/>
              <w:ind w:left="575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地方资金</w:t>
            </w:r>
          </w:p>
        </w:tc>
        <w:tc>
          <w:tcPr>
            <w:tcW w:w="1455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398.5</w:t>
            </w:r>
          </w:p>
        </w:tc>
        <w:tc>
          <w:tcPr>
            <w:tcW w:w="1907" w:type="dxa"/>
            <w:gridSpan w:val="3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398.5</w:t>
            </w: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2032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1710" w:type="dxa"/>
          </w:tcPr>
          <w:p>
            <w:pPr>
              <w:pStyle w:val="11"/>
              <w:spacing w:before="15" w:line="187" w:lineRule="exac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其他资金</w:t>
            </w:r>
          </w:p>
        </w:tc>
        <w:tc>
          <w:tcPr>
            <w:tcW w:w="1455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907" w:type="dxa"/>
            <w:gridSpan w:val="3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609" w:type="dxa"/>
            <w:vMerge w:val="restart"/>
          </w:tcPr>
          <w:p>
            <w:pPr>
              <w:pStyle w:val="11"/>
              <w:spacing w:before="27" w:line="200" w:lineRule="atLeast"/>
              <w:ind w:left="63" w:right="5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总体目标</w:t>
            </w:r>
            <w:r>
              <w:rPr>
                <w:rFonts w:hint="eastAsia"/>
                <w:sz w:val="16"/>
                <w:szCs w:val="16"/>
              </w:rPr>
              <w:t>完成情况</w:t>
            </w:r>
          </w:p>
        </w:tc>
        <w:tc>
          <w:tcPr>
            <w:tcW w:w="4588" w:type="dxa"/>
            <w:gridSpan w:val="4"/>
          </w:tcPr>
          <w:p>
            <w:pPr>
              <w:pStyle w:val="11"/>
              <w:spacing w:before="15" w:line="187" w:lineRule="exact"/>
              <w:ind w:left="1793" w:right="1784"/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总体</w:t>
            </w:r>
            <w:r>
              <w:rPr>
                <w:sz w:val="16"/>
                <w:szCs w:val="16"/>
              </w:rPr>
              <w:t>目标</w:t>
            </w:r>
          </w:p>
        </w:tc>
        <w:tc>
          <w:tcPr>
            <w:tcW w:w="3647" w:type="dxa"/>
            <w:gridSpan w:val="4"/>
          </w:tcPr>
          <w:p>
            <w:pPr>
              <w:pStyle w:val="11"/>
              <w:spacing w:before="15" w:line="187" w:lineRule="exact"/>
              <w:ind w:left="118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全年实际完成情况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609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4588" w:type="dxa"/>
            <w:gridSpan w:val="4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通过幼儿园校舍建设项目的实施，幼儿园公用经费下拨，改善学前教育学校办学条件，缩小城乡学前教育的差距，为更多学生提供良好的校园环境</w:t>
            </w:r>
          </w:p>
        </w:tc>
        <w:tc>
          <w:tcPr>
            <w:tcW w:w="3647" w:type="dxa"/>
            <w:gridSpan w:val="4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完成了12所幼儿园校舍建设任务，新建、维修改造面积约6801平方米，学前教育公用经费配套弥补了公用经费不足。</w:t>
            </w:r>
          </w:p>
          <w:p>
            <w:pPr>
              <w:pStyle w:val="11"/>
              <w:jc w:val="center"/>
              <w:rPr>
                <w:rFonts w:ascii="Times New Roman"/>
                <w:sz w:val="16"/>
                <w:szCs w:val="16"/>
                <w:lang w:val="en-US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609" w:type="dxa"/>
            <w:vMerge w:val="restart"/>
            <w:textDirection w:val="tbRl"/>
          </w:tcPr>
          <w:p>
            <w:pPr>
              <w:pStyle w:val="11"/>
              <w:spacing w:before="130"/>
              <w:ind w:left="3365" w:right="3345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绩效指标</w:t>
            </w:r>
          </w:p>
        </w:tc>
        <w:tc>
          <w:tcPr>
            <w:tcW w:w="553" w:type="dxa"/>
          </w:tcPr>
          <w:p>
            <w:pPr>
              <w:pStyle w:val="11"/>
              <w:spacing w:before="16" w:line="200" w:lineRule="atLeast"/>
              <w:ind w:left="114" w:right="104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一级指标</w:t>
            </w:r>
          </w:p>
        </w:tc>
        <w:tc>
          <w:tcPr>
            <w:tcW w:w="870" w:type="dxa"/>
          </w:tcPr>
          <w:p>
            <w:pPr>
              <w:pStyle w:val="11"/>
              <w:spacing w:before="119"/>
              <w:ind w:left="94" w:right="86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二级指标</w:t>
            </w:r>
          </w:p>
        </w:tc>
        <w:tc>
          <w:tcPr>
            <w:tcW w:w="3165" w:type="dxa"/>
            <w:gridSpan w:val="2"/>
          </w:tcPr>
          <w:p>
            <w:pPr>
              <w:pStyle w:val="11"/>
              <w:spacing w:before="119"/>
              <w:ind w:left="1242" w:right="123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三级指标</w:t>
            </w:r>
          </w:p>
        </w:tc>
        <w:tc>
          <w:tcPr>
            <w:tcW w:w="1005" w:type="dxa"/>
          </w:tcPr>
          <w:p>
            <w:pPr>
              <w:pStyle w:val="11"/>
              <w:spacing w:before="119"/>
              <w:ind w:left="81" w:right="73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指标值</w:t>
            </w:r>
          </w:p>
        </w:tc>
        <w:tc>
          <w:tcPr>
            <w:tcW w:w="902" w:type="dxa"/>
            <w:gridSpan w:val="2"/>
          </w:tcPr>
          <w:p>
            <w:pPr>
              <w:pStyle w:val="11"/>
              <w:spacing w:before="119"/>
              <w:ind w:left="5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全年</w:t>
            </w:r>
            <w:r>
              <w:rPr>
                <w:rFonts w:hint="eastAsia"/>
                <w:sz w:val="16"/>
                <w:szCs w:val="16"/>
              </w:rPr>
              <w:t>实际</w:t>
            </w:r>
            <w:r>
              <w:rPr>
                <w:sz w:val="16"/>
                <w:szCs w:val="16"/>
              </w:rPr>
              <w:t>完成值</w:t>
            </w:r>
          </w:p>
        </w:tc>
        <w:tc>
          <w:tcPr>
            <w:tcW w:w="1740" w:type="dxa"/>
          </w:tcPr>
          <w:p>
            <w:pPr>
              <w:pStyle w:val="11"/>
              <w:spacing w:before="119"/>
              <w:ind w:left="7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未完成原因和改进措施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restart"/>
          </w:tcPr>
          <w:p>
            <w:pPr>
              <w:pStyle w:val="11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1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1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1"/>
              <w:spacing w:before="3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1"/>
              <w:spacing w:line="242" w:lineRule="auto"/>
              <w:ind w:left="196" w:right="18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产出指标</w:t>
            </w:r>
          </w:p>
        </w:tc>
        <w:tc>
          <w:tcPr>
            <w:tcW w:w="870" w:type="dxa"/>
            <w:vMerge w:val="restart"/>
          </w:tcPr>
          <w:p>
            <w:pPr>
              <w:pStyle w:val="11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1"/>
              <w:ind w:lef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数量指标</w:t>
            </w:r>
          </w:p>
        </w:tc>
        <w:tc>
          <w:tcPr>
            <w:tcW w:w="3165" w:type="dxa"/>
            <w:gridSpan w:val="2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指标</w:t>
            </w:r>
            <w:r>
              <w:rPr>
                <w:rFonts w:ascii="Times New Roman"/>
                <w:sz w:val="16"/>
                <w:szCs w:val="16"/>
              </w:rPr>
              <w:t>1：支持公办幼儿园数量</w:t>
            </w:r>
          </w:p>
        </w:tc>
        <w:tc>
          <w:tcPr>
            <w:tcW w:w="1005" w:type="dxa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12</w:t>
            </w:r>
          </w:p>
        </w:tc>
        <w:tc>
          <w:tcPr>
            <w:tcW w:w="902" w:type="dxa"/>
            <w:gridSpan w:val="2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12</w:t>
            </w: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指标</w:t>
            </w:r>
            <w:r>
              <w:rPr>
                <w:rFonts w:ascii="Times New Roman"/>
                <w:sz w:val="16"/>
                <w:szCs w:val="16"/>
              </w:rPr>
              <w:t>2：新建、改扩建公办幼儿园面积</w:t>
            </w:r>
          </w:p>
        </w:tc>
        <w:tc>
          <w:tcPr>
            <w:tcW w:w="1005" w:type="dxa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6801</w:t>
            </w:r>
          </w:p>
        </w:tc>
        <w:tc>
          <w:tcPr>
            <w:tcW w:w="902" w:type="dxa"/>
            <w:gridSpan w:val="2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6801</w:t>
            </w: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restart"/>
          </w:tcPr>
          <w:p>
            <w:pPr>
              <w:pStyle w:val="11"/>
              <w:spacing w:before="16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1"/>
              <w:ind w:lef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质量指标</w:t>
            </w:r>
          </w:p>
        </w:tc>
        <w:tc>
          <w:tcPr>
            <w:tcW w:w="3165" w:type="dxa"/>
            <w:gridSpan w:val="2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指标</w:t>
            </w:r>
            <w:r>
              <w:rPr>
                <w:rFonts w:ascii="Times New Roman"/>
                <w:sz w:val="16"/>
                <w:szCs w:val="16"/>
              </w:rPr>
              <w:t>1：新建、改扩建园舍质量合格率</w:t>
            </w:r>
          </w:p>
        </w:tc>
        <w:tc>
          <w:tcPr>
            <w:tcW w:w="1005" w:type="dxa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100%</w:t>
            </w:r>
          </w:p>
        </w:tc>
        <w:tc>
          <w:tcPr>
            <w:tcW w:w="902" w:type="dxa"/>
            <w:gridSpan w:val="2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100%</w:t>
            </w: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restart"/>
          </w:tcPr>
          <w:p>
            <w:pPr>
              <w:pStyle w:val="11"/>
              <w:spacing w:before="17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1"/>
              <w:ind w:lef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时效指标</w:t>
            </w:r>
          </w:p>
        </w:tc>
        <w:tc>
          <w:tcPr>
            <w:tcW w:w="3165" w:type="dxa"/>
            <w:gridSpan w:val="2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指标</w:t>
            </w:r>
            <w:r>
              <w:rPr>
                <w:rFonts w:ascii="Times New Roman"/>
                <w:sz w:val="16"/>
                <w:szCs w:val="16"/>
              </w:rPr>
              <w:t>1：新建、改扩建项目开工率</w:t>
            </w:r>
          </w:p>
        </w:tc>
        <w:tc>
          <w:tcPr>
            <w:tcW w:w="1005" w:type="dxa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100%</w:t>
            </w:r>
          </w:p>
        </w:tc>
        <w:tc>
          <w:tcPr>
            <w:tcW w:w="902" w:type="dxa"/>
            <w:gridSpan w:val="2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100%</w:t>
            </w: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指标</w:t>
            </w:r>
            <w:r>
              <w:rPr>
                <w:rFonts w:ascii="Times New Roman"/>
                <w:sz w:val="16"/>
                <w:szCs w:val="16"/>
              </w:rPr>
              <w:t>2：目标任务完成率</w:t>
            </w:r>
          </w:p>
        </w:tc>
        <w:tc>
          <w:tcPr>
            <w:tcW w:w="1005" w:type="dxa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100%</w:t>
            </w:r>
          </w:p>
        </w:tc>
        <w:tc>
          <w:tcPr>
            <w:tcW w:w="902" w:type="dxa"/>
            <w:gridSpan w:val="2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100%</w:t>
            </w: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restart"/>
          </w:tcPr>
          <w:p>
            <w:pPr>
              <w:pStyle w:val="11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1"/>
              <w:ind w:left="11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成本指标</w:t>
            </w:r>
          </w:p>
        </w:tc>
        <w:tc>
          <w:tcPr>
            <w:tcW w:w="3165" w:type="dxa"/>
            <w:gridSpan w:val="2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指标</w:t>
            </w:r>
            <w:r>
              <w:rPr>
                <w:rFonts w:ascii="Times New Roman"/>
                <w:sz w:val="16"/>
                <w:szCs w:val="16"/>
              </w:rPr>
              <w:t>1：预决算偏离度</w:t>
            </w:r>
          </w:p>
        </w:tc>
        <w:tc>
          <w:tcPr>
            <w:tcW w:w="1005" w:type="dxa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无</w:t>
            </w:r>
          </w:p>
        </w:tc>
        <w:tc>
          <w:tcPr>
            <w:tcW w:w="902" w:type="dxa"/>
            <w:gridSpan w:val="2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无</w:t>
            </w: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</w:tcPr>
          <w:p>
            <w:pPr>
              <w:pStyle w:val="11"/>
              <w:spacing w:before="16" w:line="186" w:lineRule="exact"/>
              <w:ind w:left="94" w:right="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</w:t>
            </w:r>
          </w:p>
        </w:tc>
        <w:tc>
          <w:tcPr>
            <w:tcW w:w="3165" w:type="dxa"/>
            <w:gridSpan w:val="2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restart"/>
          </w:tcPr>
          <w:p>
            <w:pPr>
              <w:pStyle w:val="11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1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1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1"/>
              <w:spacing w:before="1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1"/>
              <w:spacing w:line="242" w:lineRule="auto"/>
              <w:ind w:left="196" w:right="183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效益指标</w:t>
            </w:r>
          </w:p>
        </w:tc>
        <w:tc>
          <w:tcPr>
            <w:tcW w:w="870" w:type="dxa"/>
            <w:vMerge w:val="restart"/>
          </w:tcPr>
          <w:p>
            <w:pPr>
              <w:pStyle w:val="11"/>
              <w:spacing w:before="143"/>
              <w:ind w:left="274" w:right="103" w:hanging="16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经济效益指标</w:t>
            </w:r>
          </w:p>
        </w:tc>
        <w:tc>
          <w:tcPr>
            <w:tcW w:w="3165" w:type="dxa"/>
            <w:gridSpan w:val="2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指标</w:t>
            </w:r>
            <w:r>
              <w:rPr>
                <w:rFonts w:ascii="Times New Roman"/>
                <w:sz w:val="16"/>
                <w:szCs w:val="16"/>
              </w:rPr>
              <w:t>1：幼儿园生均财政投入水平</w:t>
            </w:r>
          </w:p>
        </w:tc>
        <w:tc>
          <w:tcPr>
            <w:tcW w:w="1005" w:type="dxa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增长</w:t>
            </w:r>
          </w:p>
        </w:tc>
        <w:tc>
          <w:tcPr>
            <w:tcW w:w="902" w:type="dxa"/>
            <w:gridSpan w:val="2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增长</w:t>
            </w: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指标</w:t>
            </w:r>
            <w:r>
              <w:rPr>
                <w:rFonts w:ascii="Times New Roman"/>
                <w:sz w:val="16"/>
                <w:szCs w:val="16"/>
              </w:rPr>
              <w:t>2：生均园舍面积</w:t>
            </w:r>
          </w:p>
        </w:tc>
        <w:tc>
          <w:tcPr>
            <w:tcW w:w="1005" w:type="dxa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增长</w:t>
            </w:r>
          </w:p>
        </w:tc>
        <w:tc>
          <w:tcPr>
            <w:tcW w:w="902" w:type="dxa"/>
            <w:gridSpan w:val="2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增长</w:t>
            </w: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restart"/>
          </w:tcPr>
          <w:p>
            <w:pPr>
              <w:pStyle w:val="11"/>
              <w:spacing w:before="3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1"/>
              <w:ind w:left="274" w:right="103" w:hanging="16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社会效益指标</w:t>
            </w:r>
          </w:p>
        </w:tc>
        <w:tc>
          <w:tcPr>
            <w:tcW w:w="3165" w:type="dxa"/>
            <w:gridSpan w:val="2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指标</w:t>
            </w:r>
            <w:r>
              <w:rPr>
                <w:rFonts w:ascii="Times New Roman"/>
                <w:sz w:val="16"/>
                <w:szCs w:val="16"/>
              </w:rPr>
              <w:t>1：</w:t>
            </w:r>
            <w:r>
              <w:rPr>
                <w:rFonts w:hint="eastAsia" w:ascii="Times New Roman"/>
                <w:sz w:val="16"/>
                <w:szCs w:val="16"/>
              </w:rPr>
              <w:t>适龄人口入学率</w:t>
            </w:r>
          </w:p>
        </w:tc>
        <w:tc>
          <w:tcPr>
            <w:tcW w:w="1005" w:type="dxa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99.9%</w:t>
            </w:r>
          </w:p>
        </w:tc>
        <w:tc>
          <w:tcPr>
            <w:tcW w:w="902" w:type="dxa"/>
            <w:gridSpan w:val="2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99.9%</w:t>
            </w: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restart"/>
          </w:tcPr>
          <w:p>
            <w:pPr>
              <w:pStyle w:val="11"/>
              <w:spacing w:before="143"/>
              <w:ind w:left="274" w:right="103" w:hanging="161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生态效益指标</w:t>
            </w:r>
          </w:p>
        </w:tc>
        <w:tc>
          <w:tcPr>
            <w:tcW w:w="3165" w:type="dxa"/>
            <w:gridSpan w:val="2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指标1：校园环境</w:t>
            </w:r>
          </w:p>
        </w:tc>
        <w:tc>
          <w:tcPr>
            <w:tcW w:w="1005" w:type="dxa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提升</w:t>
            </w:r>
          </w:p>
        </w:tc>
        <w:tc>
          <w:tcPr>
            <w:tcW w:w="902" w:type="dxa"/>
            <w:gridSpan w:val="2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提升</w:t>
            </w: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restart"/>
          </w:tcPr>
          <w:p>
            <w:pPr>
              <w:pStyle w:val="11"/>
              <w:spacing w:before="2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1"/>
              <w:spacing w:before="1"/>
              <w:ind w:left="274" w:right="21" w:hanging="24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可持续影响指标</w:t>
            </w:r>
          </w:p>
        </w:tc>
        <w:tc>
          <w:tcPr>
            <w:tcW w:w="3165" w:type="dxa"/>
            <w:gridSpan w:val="2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指标</w:t>
            </w:r>
            <w:r>
              <w:rPr>
                <w:rFonts w:ascii="Times New Roman"/>
                <w:sz w:val="16"/>
                <w:szCs w:val="16"/>
              </w:rPr>
              <w:t>1：公办幼儿园园舍等基本办学条件</w:t>
            </w:r>
          </w:p>
        </w:tc>
        <w:tc>
          <w:tcPr>
            <w:tcW w:w="1005" w:type="dxa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提升</w:t>
            </w:r>
          </w:p>
        </w:tc>
        <w:tc>
          <w:tcPr>
            <w:tcW w:w="902" w:type="dxa"/>
            <w:gridSpan w:val="2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提升</w:t>
            </w: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</w:tcPr>
          <w:p>
            <w:pPr>
              <w:pStyle w:val="11"/>
              <w:spacing w:before="15" w:line="187" w:lineRule="exact"/>
              <w:ind w:left="94" w:right="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</w:t>
            </w:r>
          </w:p>
        </w:tc>
        <w:tc>
          <w:tcPr>
            <w:tcW w:w="3165" w:type="dxa"/>
            <w:gridSpan w:val="2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restart"/>
          </w:tcPr>
          <w:p>
            <w:pPr>
              <w:pStyle w:val="11"/>
              <w:spacing w:before="13"/>
              <w:rPr>
                <w:rFonts w:ascii="方正小标宋简体"/>
                <w:sz w:val="16"/>
                <w:szCs w:val="16"/>
              </w:rPr>
            </w:pPr>
          </w:p>
          <w:p>
            <w:pPr>
              <w:pStyle w:val="11"/>
              <w:ind w:left="114" w:right="25" w:hanging="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满意度指标</w:t>
            </w:r>
          </w:p>
        </w:tc>
        <w:tc>
          <w:tcPr>
            <w:tcW w:w="870" w:type="dxa"/>
            <w:vMerge w:val="restart"/>
          </w:tcPr>
          <w:p>
            <w:pPr>
              <w:pStyle w:val="11"/>
              <w:spacing w:before="143" w:line="244" w:lineRule="auto"/>
              <w:ind w:left="34" w:right="21" w:firstLine="79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服务对象满意度指标</w:t>
            </w:r>
          </w:p>
        </w:tc>
        <w:tc>
          <w:tcPr>
            <w:tcW w:w="3165" w:type="dxa"/>
            <w:gridSpan w:val="2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指标</w:t>
            </w:r>
            <w:r>
              <w:rPr>
                <w:rFonts w:ascii="Times New Roman"/>
                <w:sz w:val="16"/>
                <w:szCs w:val="16"/>
              </w:rPr>
              <w:t>1：县域社会公众教育（学前教育）满意度</w:t>
            </w:r>
          </w:p>
        </w:tc>
        <w:tc>
          <w:tcPr>
            <w:tcW w:w="1005" w:type="dxa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满意</w:t>
            </w:r>
          </w:p>
        </w:tc>
        <w:tc>
          <w:tcPr>
            <w:tcW w:w="902" w:type="dxa"/>
            <w:gridSpan w:val="2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满意</w:t>
            </w: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</w:tcPr>
          <w:p>
            <w:pPr>
              <w:pStyle w:val="11"/>
              <w:spacing w:before="14" w:line="188" w:lineRule="exact"/>
              <w:ind w:left="94" w:right="8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</w:t>
            </w:r>
          </w:p>
        </w:tc>
        <w:tc>
          <w:tcPr>
            <w:tcW w:w="3165" w:type="dxa"/>
            <w:gridSpan w:val="2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1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>
            <w:pPr>
              <w:pStyle w:val="11"/>
              <w:rPr>
                <w:rFonts w:ascii="Times New Roman"/>
                <w:sz w:val="16"/>
                <w:szCs w:val="1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</w:tcPr>
          <w:p>
            <w:pPr>
              <w:pStyle w:val="11"/>
              <w:spacing w:before="17" w:line="186" w:lineRule="exact"/>
              <w:ind w:left="142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说明</w:t>
            </w:r>
          </w:p>
        </w:tc>
        <w:tc>
          <w:tcPr>
            <w:tcW w:w="8235" w:type="dxa"/>
            <w:gridSpan w:val="8"/>
          </w:tcPr>
          <w:p>
            <w:pPr>
              <w:pStyle w:val="11"/>
              <w:spacing w:before="17" w:line="186" w:lineRule="exact"/>
              <w:ind w:left="59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无</w:t>
            </w:r>
          </w:p>
        </w:tc>
      </w:tr>
    </w:tbl>
    <w:p>
      <w:pPr>
        <w:spacing w:line="261" w:lineRule="auto"/>
        <w:ind w:left="635" w:right="312" w:hanging="320"/>
        <w:rPr>
          <w:rFonts w:ascii="宋体" w:eastAsia="宋体"/>
          <w:spacing w:val="-5"/>
          <w:sz w:val="16"/>
        </w:rPr>
      </w:pPr>
      <w:r>
        <w:rPr>
          <w:rFonts w:hint="eastAsia" w:ascii="宋体" w:eastAsia="宋体"/>
          <w:spacing w:val="-5"/>
          <w:sz w:val="16"/>
        </w:rPr>
        <w:t>注：1.资金使用单位按项目绩效目标填报，主管部门汇总时按区域绩效目标填报。</w:t>
      </w:r>
    </w:p>
    <w:p>
      <w:pPr>
        <w:spacing w:line="261" w:lineRule="auto"/>
        <w:ind w:left="631" w:leftChars="287" w:right="312"/>
        <w:rPr>
          <w:rFonts w:ascii="宋体" w:eastAsia="宋体"/>
          <w:spacing w:val="-7"/>
          <w:sz w:val="16"/>
        </w:rPr>
      </w:pPr>
      <w:r>
        <w:rPr>
          <w:rFonts w:hint="eastAsia" w:ascii="宋体" w:eastAsia="宋体"/>
          <w:spacing w:val="-6"/>
          <w:sz w:val="16"/>
        </w:rPr>
        <w:t>2</w:t>
      </w:r>
      <w:r>
        <w:rPr>
          <w:rFonts w:hint="eastAsia" w:ascii="宋体" w:eastAsia="宋体"/>
          <w:spacing w:val="-7"/>
          <w:sz w:val="16"/>
        </w:rPr>
        <w:t>.其他资金包括与中央财政资金、地方财政资金共同投入到同一项目的自有资金、社会资金，以及以前年度的结转结余资金等。3.全年执行数是指按照国库集中支付制度要求，支付到商品和劳务供应者或者用款单位形成的实际支出。</w:t>
      </w:r>
    </w:p>
    <w:p>
      <w:pPr>
        <w:spacing w:line="261" w:lineRule="auto"/>
        <w:ind w:left="631" w:leftChars="287" w:right="312"/>
        <w:rPr>
          <w:rFonts w:ascii="宋体" w:eastAsia="宋体"/>
          <w:spacing w:val="-4"/>
          <w:sz w:val="16"/>
        </w:rPr>
      </w:pPr>
      <w:r>
        <w:rPr>
          <w:rFonts w:hint="eastAsia" w:ascii="宋体" w:eastAsia="宋体"/>
          <w:spacing w:val="-4"/>
          <w:sz w:val="16"/>
        </w:rPr>
        <w:t>4.定量指标，地方各级主管部门对资金使用单位填写的实际完成值汇总时，绝对值直接累加计算，相对值按照资金额度加权平均计算。</w:t>
      </w:r>
    </w:p>
    <w:p>
      <w:pPr>
        <w:pStyle w:val="10"/>
        <w:tabs>
          <w:tab w:val="left" w:pos="800"/>
        </w:tabs>
        <w:spacing w:before="19" w:line="244" w:lineRule="auto"/>
        <w:ind w:left="317" w:leftChars="144" w:right="406" w:firstLine="304" w:firstLineChars="200"/>
      </w:pPr>
      <w:r>
        <w:rPr>
          <w:rFonts w:hint="eastAsia"/>
          <w:spacing w:val="-4"/>
          <w:sz w:val="16"/>
        </w:rPr>
        <w:t>5.</w:t>
      </w:r>
      <w:r>
        <w:rPr>
          <w:spacing w:val="-3"/>
          <w:sz w:val="16"/>
        </w:rPr>
        <w:t>定性指标</w:t>
      </w:r>
      <w:r>
        <w:rPr>
          <w:rFonts w:hint="eastAsia"/>
          <w:spacing w:val="-3"/>
          <w:sz w:val="16"/>
        </w:rPr>
        <w:t>，资金使用单位</w:t>
      </w:r>
      <w:r>
        <w:rPr>
          <w:spacing w:val="-7"/>
          <w:sz w:val="16"/>
        </w:rPr>
        <w:t xml:space="preserve">分别按照 </w:t>
      </w:r>
      <w:r>
        <w:rPr>
          <w:sz w:val="16"/>
        </w:rPr>
        <w:t>100%-80%（</w:t>
      </w:r>
      <w:r>
        <w:rPr>
          <w:spacing w:val="-3"/>
          <w:sz w:val="16"/>
        </w:rPr>
        <w:t>含</w:t>
      </w:r>
      <w:r>
        <w:rPr>
          <w:sz w:val="16"/>
        </w:rPr>
        <w:t>）</w:t>
      </w:r>
      <w:r>
        <w:rPr>
          <w:spacing w:val="-3"/>
          <w:sz w:val="16"/>
        </w:rPr>
        <w:t>、</w:t>
      </w:r>
      <w:r>
        <w:rPr>
          <w:sz w:val="16"/>
        </w:rPr>
        <w:t>80%-60%（</w:t>
      </w:r>
      <w:r>
        <w:rPr>
          <w:spacing w:val="-3"/>
          <w:sz w:val="16"/>
        </w:rPr>
        <w:t>含</w:t>
      </w:r>
      <w:r>
        <w:rPr>
          <w:sz w:val="16"/>
        </w:rPr>
        <w:t>）</w:t>
      </w:r>
      <w:r>
        <w:rPr>
          <w:spacing w:val="-3"/>
          <w:sz w:val="16"/>
        </w:rPr>
        <w:t>、</w:t>
      </w:r>
      <w:r>
        <w:rPr>
          <w:sz w:val="16"/>
        </w:rPr>
        <w:t>60-0</w:t>
      </w:r>
      <w:r>
        <w:rPr>
          <w:spacing w:val="-3"/>
          <w:sz w:val="16"/>
        </w:rPr>
        <w:t>%合理填写</w:t>
      </w:r>
      <w:r>
        <w:rPr>
          <w:rFonts w:hint="eastAsia"/>
          <w:spacing w:val="-3"/>
          <w:sz w:val="16"/>
        </w:rPr>
        <w:t>实际</w:t>
      </w:r>
      <w:r>
        <w:rPr>
          <w:spacing w:val="-3"/>
          <w:sz w:val="16"/>
        </w:rPr>
        <w:t>完成</w:t>
      </w:r>
      <w:r>
        <w:rPr>
          <w:rFonts w:hint="eastAsia"/>
          <w:spacing w:val="-3"/>
          <w:sz w:val="16"/>
        </w:rPr>
        <w:t>值</w:t>
      </w:r>
      <w:r>
        <w:rPr>
          <w:spacing w:val="-3"/>
          <w:sz w:val="16"/>
        </w:rPr>
        <w:t>。</w:t>
      </w:r>
      <w:r>
        <w:rPr>
          <w:rFonts w:hint="eastAsia"/>
          <w:spacing w:val="-3"/>
          <w:sz w:val="16"/>
        </w:rPr>
        <w:t>地方各级</w:t>
      </w:r>
      <w:r>
        <w:rPr>
          <w:spacing w:val="-3"/>
          <w:sz w:val="16"/>
        </w:rPr>
        <w:t>主管部门汇总时</w:t>
      </w:r>
      <w:r>
        <w:rPr>
          <w:rFonts w:hint="eastAsia"/>
          <w:spacing w:val="-3"/>
          <w:sz w:val="16"/>
        </w:rPr>
        <w:t>，</w:t>
      </w:r>
      <w:r>
        <w:rPr>
          <w:spacing w:val="-3"/>
          <w:sz w:val="16"/>
        </w:rPr>
        <w:t>按</w:t>
      </w:r>
      <w:r>
        <w:rPr>
          <w:rFonts w:hint="eastAsia"/>
          <w:spacing w:val="-3"/>
          <w:sz w:val="16"/>
        </w:rPr>
        <w:t>资金额度加权平均计算。</w:t>
      </w:r>
    </w:p>
    <w:sectPr>
      <w:footerReference r:id="rId3" w:type="default"/>
      <w:footerReference r:id="rId4" w:type="even"/>
      <w:pgSz w:w="11910" w:h="16840"/>
      <w:pgMar w:top="1580" w:right="1180" w:bottom="1900" w:left="1200" w:header="0" w:footer="171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rPr>
        <w:lang w:val="en-US" w:bidi="ar-SA"/>
      </w:rPr>
      <w:pict>
        <v:shape id="文本框 2" o:spid="_x0000_s4097" o:spt="202" type="#_x0000_t202" style="position:absolute;left:0pt;margin-left:482.7pt;margin-top:745.35pt;height:16.05pt;width:37.05pt;mso-position-horizontal-relative:page;mso-position-vertical-relative:page;z-index:-251656192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21" w:lineRule="exact"/>
                  <w:ind w:left="20"/>
                  <w:rPr>
                    <w:sz w:val="28"/>
                  </w:rPr>
                </w:pPr>
                <w:r>
                  <w:rPr>
                    <w:sz w:val="28"/>
                  </w:rPr>
                  <w:t>－</w:t>
                </w:r>
                <w:r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sz w:val="28"/>
                  </w:rPr>
                  <w:t>1</w:t>
                </w:r>
                <w:r>
                  <w:fldChar w:fldCharType="end"/>
                </w:r>
                <w:r>
                  <w:rPr>
                    <w:sz w:val="28"/>
                  </w:rPr>
                  <w:t>－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rPr>
        <w:lang w:val="en-US" w:bidi="ar-SA"/>
      </w:rPr>
      <w:pict>
        <v:shape id="文本框 1" o:spid="_x0000_s4098" o:spt="202" type="#_x0000_t202" style="position:absolute;left:0pt;margin-left:75.55pt;margin-top:745.35pt;height:16.05pt;width:37.05pt;mso-position-horizontal-relative:page;mso-position-vertical-relative:page;z-index:-251657216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21" w:lineRule="exact"/>
                  <w:ind w:left="20"/>
                  <w:rPr>
                    <w:sz w:val="28"/>
                  </w:rPr>
                </w:pPr>
                <w:r>
                  <w:rPr>
                    <w:sz w:val="28"/>
                  </w:rPr>
                  <w:t>－</w:t>
                </w:r>
                <w:r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sz w:val="28"/>
                  </w:rPr>
                  <w:t>2</w:t>
                </w:r>
                <w:r>
                  <w:fldChar w:fldCharType="end"/>
                </w:r>
                <w:r>
                  <w:rPr>
                    <w:sz w:val="28"/>
                  </w:rPr>
                  <w:t>－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4"/>
    </o:shapelayout>
  </w:hdrShapeDefaults>
  <w:compat>
    <w:ulTrailSpace/>
    <w:useFELayout/>
    <w:compatSetting w:name="compatibilityMode" w:uri="http://schemas.microsoft.com/office/word" w:val="12"/>
  </w:compat>
  <w:rsids>
    <w:rsidRoot w:val="007F310B"/>
    <w:rsid w:val="0000388D"/>
    <w:rsid w:val="000E2211"/>
    <w:rsid w:val="00170DBA"/>
    <w:rsid w:val="00282C48"/>
    <w:rsid w:val="00421794"/>
    <w:rsid w:val="00452AF3"/>
    <w:rsid w:val="004C55B4"/>
    <w:rsid w:val="0051555C"/>
    <w:rsid w:val="0058070B"/>
    <w:rsid w:val="005D14AE"/>
    <w:rsid w:val="00646E79"/>
    <w:rsid w:val="006929A8"/>
    <w:rsid w:val="006C1A9C"/>
    <w:rsid w:val="006E407C"/>
    <w:rsid w:val="007F310B"/>
    <w:rsid w:val="0083002C"/>
    <w:rsid w:val="00C20565"/>
    <w:rsid w:val="00D234A5"/>
    <w:rsid w:val="00D332BE"/>
    <w:rsid w:val="00D73428"/>
    <w:rsid w:val="00D83C77"/>
    <w:rsid w:val="00D96EBB"/>
    <w:rsid w:val="00DE0286"/>
    <w:rsid w:val="00E87FC0"/>
    <w:rsid w:val="00EA2FD0"/>
    <w:rsid w:val="00EE69BB"/>
    <w:rsid w:val="00F00400"/>
    <w:rsid w:val="00F00EEF"/>
    <w:rsid w:val="00F354AE"/>
    <w:rsid w:val="00F87366"/>
    <w:rsid w:val="00FC35A7"/>
    <w:rsid w:val="00FE2F7A"/>
    <w:rsid w:val="03FD404E"/>
    <w:rsid w:val="0B110B0B"/>
    <w:rsid w:val="1E3164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outlineLvl w:val="0"/>
    </w:pPr>
    <w:rPr>
      <w:rFonts w:ascii="方正小标宋简体" w:hAnsi="方正小标宋简体" w:eastAsia="方正小标宋简体" w:cs="方正小标宋简体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32"/>
      <w:szCs w:val="32"/>
    </w:rPr>
  </w:style>
  <w:style w:type="paragraph" w:styleId="4">
    <w:name w:val="footer"/>
    <w:basedOn w:val="1"/>
    <w:link w:val="13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autoSpaceDE/>
      <w:autoSpaceDN/>
      <w:spacing w:beforeAutospacing="1" w:afterAutospacing="1"/>
    </w:pPr>
    <w:rPr>
      <w:rFonts w:cs="Times New Roman" w:asciiTheme="minorHAnsi" w:hAnsiTheme="minorHAnsi" w:eastAsiaTheme="minorEastAsia"/>
      <w:sz w:val="24"/>
      <w:szCs w:val="24"/>
      <w:lang w:val="en-US" w:bidi="ar-SA"/>
    </w:rPr>
  </w:style>
  <w:style w:type="table" w:customStyle="1" w:styleId="9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List Paragraph"/>
    <w:basedOn w:val="1"/>
    <w:qFormat/>
    <w:uiPriority w:val="1"/>
    <w:pPr>
      <w:ind w:left="1213" w:hanging="243"/>
    </w:pPr>
    <w:rPr>
      <w:rFonts w:ascii="宋体" w:hAnsi="宋体" w:eastAsia="宋体" w:cs="宋体"/>
    </w:rPr>
  </w:style>
  <w:style w:type="paragraph" w:customStyle="1" w:styleId="11">
    <w:name w:val="Table Paragraph"/>
    <w:basedOn w:val="1"/>
    <w:qFormat/>
    <w:uiPriority w:val="1"/>
    <w:rPr>
      <w:rFonts w:ascii="宋体" w:hAnsi="宋体" w:eastAsia="宋体" w:cs="宋体"/>
    </w:rPr>
  </w:style>
  <w:style w:type="character" w:customStyle="1" w:styleId="12">
    <w:name w:val="页眉 Char"/>
    <w:basedOn w:val="8"/>
    <w:link w:val="5"/>
    <w:uiPriority w:val="0"/>
    <w:rPr>
      <w:rFonts w:ascii="仿宋_GB2312" w:hAnsi="仿宋_GB2312" w:eastAsia="仿宋_GB2312" w:cs="仿宋_GB2312"/>
      <w:sz w:val="18"/>
      <w:szCs w:val="18"/>
      <w:lang w:val="zh-CN" w:bidi="zh-CN"/>
    </w:rPr>
  </w:style>
  <w:style w:type="character" w:customStyle="1" w:styleId="13">
    <w:name w:val="页脚 Char"/>
    <w:basedOn w:val="8"/>
    <w:link w:val="4"/>
    <w:uiPriority w:val="0"/>
    <w:rPr>
      <w:rFonts w:ascii="仿宋_GB2312" w:hAnsi="仿宋_GB2312" w:eastAsia="仿宋_GB2312" w:cs="仿宋_GB2312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187</Words>
  <Characters>1072</Characters>
  <Lines>8</Lines>
  <Paragraphs>2</Paragraphs>
  <TotalTime>6</TotalTime>
  <ScaleCrop>false</ScaleCrop>
  <LinksUpToDate>false</LinksUpToDate>
  <CharactersWithSpaces>1257</CharactersWithSpaces>
  <Application>WPS Office_11.1.0.11566_F1E327BC-269C-435d-A152-05C5408002CA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2022-03-10T07:43:00Z</dcterms:created>
  <dc:creator>xiaojie</dc:creator>
  <cp:lastModifiedBy>Administrator</cp:lastModifiedBy>
  <cp:lastPrinted>2022-03-15T10:30:51Z</cp:lastPrinted>
  <dcterms:modified xsi:type="dcterms:W3CDTF">2022-03-15T10:30:55Z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2020-04-21T00:00:00Z</vt:filetime>
  </property>
  <property fmtid="{D5CDD505-2E9C-101B-9397-08002B2CF9AE}" pid="3" name="Creator">
    <vt:lpwstr>WPS Office</vt:lpwstr>
  </property>
  <property fmtid="{D5CDD505-2E9C-101B-9397-08002B2CF9AE}" pid="4" name="LastSaved">
    <vt:filetime>2020-04-27T00:00:00Z</vt:filetime>
  </property>
  <property fmtid="{D5CDD505-2E9C-101B-9397-08002B2CF9AE}" pid="5" name="KSOProductBuildVer">
    <vt:lpwstr>2052-11.1.0.11566</vt:lpwstr>
  </property>
  <property fmtid="{D5CDD505-2E9C-101B-9397-08002B2CF9AE}" pid="6" name="ICV">
    <vt:lpwstr>6F6F6344C9884CFDA14CD89E328A5BA4</vt:lpwstr>
  </property>
</Properties>
</file>