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fill="FFFFFF"/>
        <w:spacing w:line="600" w:lineRule="atLeast"/>
        <w:jc w:val="center"/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  <w:lang w:eastAsia="zh-CN"/>
        </w:rPr>
        <w:t>沅江市法律援助中心</w:t>
      </w:r>
    </w:p>
    <w:p>
      <w:pPr>
        <w:pStyle w:val="4"/>
        <w:widowControl/>
        <w:shd w:val="clear" w:fill="FFFFFF"/>
        <w:spacing w:line="600" w:lineRule="atLeast"/>
        <w:jc w:val="center"/>
      </w:pPr>
      <w:r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  <w:lang w:val="en-US" w:eastAsia="zh-CN" w:bidi="ar-SA"/>
        </w:rPr>
        <w:t>202</w:t>
      </w:r>
      <w:r>
        <w:rPr>
          <w:rFonts w:hint="eastAsia"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  <w:lang w:val="en-US" w:eastAsia="zh-CN" w:bidi="ar-SA"/>
        </w:rPr>
        <w:t>1</w:t>
      </w:r>
      <w:r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</w:rPr>
        <w:t>年度整体</w:t>
      </w:r>
      <w:r>
        <w:rPr>
          <w:b/>
          <w:bCs/>
          <w:color w:val="333333"/>
          <w:kern w:val="0"/>
          <w:sz w:val="44"/>
          <w:szCs w:val="44"/>
        </w:rPr>
        <w:t>支出绩效</w:t>
      </w:r>
      <w:r>
        <w:rPr>
          <w:b/>
          <w:bCs/>
          <w:color w:val="333333"/>
          <w:kern w:val="0"/>
          <w:sz w:val="44"/>
          <w:szCs w:val="44"/>
          <w:lang w:eastAsia="zh-CN"/>
        </w:rPr>
        <w:t>自</w:t>
      </w:r>
      <w:r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</w:rPr>
        <w:t>评</w:t>
      </w:r>
      <w:r>
        <w:rPr>
          <w:b/>
          <w:bCs/>
          <w:color w:val="333333"/>
          <w:kern w:val="0"/>
          <w:sz w:val="44"/>
          <w:szCs w:val="44"/>
        </w:rPr>
        <w:t>报告</w:t>
      </w:r>
    </w:p>
    <w:p>
      <w:pPr>
        <w:pStyle w:val="4"/>
        <w:widowControl/>
        <w:shd w:val="clear" w:fill="FFFFFF"/>
        <w:spacing w:line="60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 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一、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</w:t>
      </w:r>
      <w:r>
        <w:rPr>
          <w:color w:val="333333"/>
          <w:kern w:val="0"/>
          <w:sz w:val="32"/>
          <w:szCs w:val="32"/>
        </w:rPr>
        <w:t>概况</w:t>
      </w:r>
    </w:p>
    <w:p>
      <w:pPr>
        <w:pStyle w:val="4"/>
        <w:widowControl/>
        <w:shd w:val="clear" w:fill="FFFFFF"/>
        <w:spacing w:line="560" w:lineRule="atLeast"/>
        <w:ind w:firstLine="643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（一）单位基本情况。</w:t>
      </w:r>
    </w:p>
    <w:p>
      <w:pPr>
        <w:pStyle w:val="4"/>
        <w:widowControl/>
        <w:shd w:val="clear" w:fill="FFFFFF"/>
        <w:spacing w:line="560" w:lineRule="atLeast"/>
        <w:ind w:firstLine="643"/>
        <w:jc w:val="left"/>
        <w:rPr>
          <w:rFonts w:ascii="仿宋_GB2312;仿宋" w:hAnsi="仿宋_GB2312;仿宋" w:eastAsia="仿宋_GB2312;仿宋" w:cs="仿宋_GB2312;仿宋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1、机构设置和人员情况：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市法律援助中心</w:t>
      </w:r>
      <w:r>
        <w:rPr>
          <w:color w:val="333333"/>
          <w:kern w:val="0"/>
          <w:sz w:val="32"/>
          <w:szCs w:val="32"/>
        </w:rPr>
        <w:t>是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财政全额拨款一类公益事业单位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，</w:t>
      </w: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</w:rPr>
        <w:t>目前实有在职人员</w:t>
      </w:r>
      <w:r>
        <w:rPr>
          <w:rFonts w:hint="eastAsia" w:ascii="仿宋_GB2312;仿宋" w:hAnsi="仿宋_GB2312;仿宋" w:eastAsia="仿宋_GB2312;仿宋" w:cs="仿宋_GB2312;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</w:rPr>
        <w:t>人。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642"/>
        <w:jc w:val="both"/>
        <w:textAlignment w:val="auto"/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2、主要职责：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642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（一）组织、管理、协调、监督我市的法律援助工作；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（二）对公民申请法律援助事项进行初审，对符合法律援助条件的案件审批；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（三）解答法律咨询，代写法律文书；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（四）对重大、复杂、疑难和群体性的法律援助案件，及时上报市法律援助中心和市委和市政府；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（五）宣传法律援助制度；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（六）负责收集并上报本市法律援助信息资料和统计工作等。</w:t>
      </w:r>
    </w:p>
    <w:p>
      <w:pPr>
        <w:pStyle w:val="4"/>
        <w:widowControl/>
        <w:shd w:val="clear" w:fill="FFFFFF"/>
        <w:spacing w:line="60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  <w:lang w:eastAsia="zh-CN"/>
        </w:rPr>
        <w:t>　　</w:t>
      </w: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3、</w:t>
      </w:r>
      <w:r>
        <w:rPr>
          <w:rFonts w:hint="eastAsia"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  <w:lang w:eastAsia="zh-CN"/>
        </w:rPr>
        <w:t>2021</w:t>
      </w: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年度重点工作：</w:t>
      </w:r>
    </w:p>
    <w:p>
      <w:pPr>
        <w:pStyle w:val="4"/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楷体" w:hAnsi="楷体" w:eastAsia="楷体" w:cs="楷体"/>
          <w:b/>
          <w:bCs/>
          <w:sz w:val="32"/>
          <w:szCs w:val="32"/>
          <w:lang w:val="en-US" w:eastAsia="zh-CN"/>
        </w:rPr>
        <w:t>　　</w:t>
      </w:r>
      <w:r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  <w:t>1、进一步加大法援宣传力度，扩大法援覆盖面；</w:t>
      </w:r>
    </w:p>
    <w:p>
      <w:pPr>
        <w:pStyle w:val="4"/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  <w:t>　　2、</w:t>
      </w:r>
      <w:r>
        <w:rPr>
          <w:rFonts w:ascii="仿宋" w:hAnsi="仿宋" w:eastAsia="仿宋" w:cs="宋体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-SA"/>
        </w:rPr>
        <w:t>健全刑事法律援助工作机制，实行刑辩全覆盖 ；</w:t>
      </w:r>
    </w:p>
    <w:p>
      <w:pPr>
        <w:pStyle w:val="4"/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  <w:t>　　3、加强管理，提升法律服务质量注重协调，确保法律援助服务实效。</w:t>
      </w:r>
    </w:p>
    <w:p>
      <w:pPr>
        <w:pStyle w:val="4"/>
        <w:ind w:firstLine="640"/>
        <w:rPr>
          <w:rFonts w:ascii="仿宋" w:hAnsi="仿宋" w:eastAsia="仿宋" w:cs="宋体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宋体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-SA"/>
        </w:rPr>
        <w:t>4、尽职尽责，切实维护社会弱势群体合法权益。</w:t>
      </w:r>
    </w:p>
    <w:p>
      <w:pPr>
        <w:pStyle w:val="4"/>
        <w:widowControl/>
        <w:shd w:val="clear" w:fill="FFFFFF"/>
        <w:spacing w:line="560" w:lineRule="atLeast"/>
        <w:ind w:firstLine="643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（二）单位整体支出规模、使用方向和主要内容、涉及范围等。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eastAsia="仿宋_GB2312;仿宋" w:cs="宋体"/>
          <w:color w:val="333333"/>
          <w:kern w:val="0"/>
          <w:sz w:val="32"/>
          <w:szCs w:val="21"/>
          <w:lang w:eastAsia="zh-CN"/>
        </w:rPr>
        <w:t>2021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年我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  <w:lang w:eastAsia="zh-CN"/>
        </w:rPr>
        <w:t>中心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预算总收入为</w:t>
      </w:r>
      <w:r>
        <w:rPr>
          <w:rFonts w:hint="eastAsia" w:ascii="宋体" w:hAnsi="宋体" w:eastAsia="仿宋_GB2312;仿宋" w:cs="宋体"/>
          <w:color w:val="333333"/>
          <w:kern w:val="0"/>
          <w:sz w:val="32"/>
          <w:szCs w:val="21"/>
          <w:lang w:val="en-US" w:eastAsia="zh-CN" w:bidi="ar-SA"/>
        </w:rPr>
        <w:t>107.04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万元，其中：年初批复预算总收入为</w:t>
      </w:r>
      <w:r>
        <w:rPr>
          <w:rFonts w:hint="eastAsia" w:ascii="宋体" w:hAnsi="宋体" w:eastAsia="仿宋_GB2312;仿宋" w:cs="宋体"/>
          <w:color w:val="333333"/>
          <w:kern w:val="0"/>
          <w:sz w:val="32"/>
          <w:szCs w:val="21"/>
          <w:lang w:val="en-US" w:eastAsia="zh-CN" w:bidi="ar-SA"/>
        </w:rPr>
        <w:t>107.04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万元、上年结转财政拨款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  <w:lang w:val="en-US" w:eastAsia="zh-CN"/>
        </w:rPr>
        <w:t>0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万元。具体明细如下：</w:t>
      </w:r>
    </w:p>
    <w:tbl>
      <w:tblPr>
        <w:tblStyle w:val="2"/>
        <w:tblW w:w="8100" w:type="dxa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2429"/>
      </w:tblGrid>
      <w:tr>
        <w:tc>
          <w:tcPr>
            <w:tcW w:w="5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项目</w:t>
            </w:r>
          </w:p>
        </w:tc>
        <w:tc>
          <w:tcPr>
            <w:tcW w:w="242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一、年初预算总收入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eastAsia="仿宋_GB2312;仿宋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;仿宋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107.04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1、工资福利支出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50.173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2、一般商品和服务支出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3、</w:t>
            </w: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eastAsia="zh-CN"/>
              </w:rPr>
              <w:t>专项商品服务支出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/>
              </w:rPr>
              <w:t>4、对个人和家庭的补助支出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4.867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二、上年结转财政拨款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  <w:lang w:eastAsia="zh-CN"/>
              </w:rPr>
              <w:t>三</w:t>
            </w: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、年终结算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107.04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全年收入总计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107.04</w:t>
            </w:r>
          </w:p>
        </w:tc>
      </w:tr>
    </w:tbl>
    <w:p>
      <w:pPr>
        <w:pStyle w:val="4"/>
        <w:ind w:firstLine="640"/>
        <w:jc w:val="left"/>
      </w:pPr>
      <w:r>
        <w:rPr>
          <w:rFonts w:ascii="仿宋" w:hAnsi="仿宋" w:eastAsia="仿宋" w:cs="仿宋"/>
          <w:sz w:val="32"/>
          <w:szCs w:val="32"/>
        </w:rPr>
        <w:t>沅江市</w:t>
      </w:r>
      <w:r>
        <w:rPr>
          <w:rFonts w:ascii="仿宋" w:hAnsi="仿宋" w:eastAsia="仿宋" w:cs="仿宋"/>
          <w:sz w:val="32"/>
          <w:szCs w:val="32"/>
          <w:lang w:eastAsia="zh-CN"/>
        </w:rPr>
        <w:t>法律援助中心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ascii="仿宋" w:hAnsi="仿宋" w:eastAsia="仿宋" w:cs="仿宋"/>
          <w:sz w:val="32"/>
          <w:szCs w:val="32"/>
        </w:rPr>
        <w:t>年度收入总计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val="en-US" w:eastAsia="zh-CN" w:bidi="ar-SA"/>
        </w:rPr>
        <w:t>114.888</w:t>
      </w:r>
      <w:r>
        <w:rPr>
          <w:rFonts w:ascii="仿宋" w:hAnsi="仿宋" w:eastAsia="仿宋" w:cs="仿宋"/>
          <w:sz w:val="32"/>
          <w:szCs w:val="32"/>
        </w:rPr>
        <w:t>万元，比上年同期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减少7.848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下降0.58</w:t>
      </w:r>
      <w:r>
        <w:rPr>
          <w:rFonts w:ascii="仿宋" w:hAnsi="仿宋" w:eastAsia="仿宋" w:cs="仿宋"/>
          <w:sz w:val="32"/>
          <w:szCs w:val="32"/>
        </w:rPr>
        <w:t>%；支出总计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107.04</w:t>
      </w:r>
      <w:r>
        <w:rPr>
          <w:rFonts w:ascii="仿宋" w:hAnsi="仿宋" w:eastAsia="仿宋" w:cs="仿宋"/>
          <w:sz w:val="32"/>
          <w:szCs w:val="32"/>
        </w:rPr>
        <w:t>万元。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二、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部门整体支出</w:t>
      </w:r>
      <w:r>
        <w:rPr>
          <w:color w:val="333333"/>
          <w:kern w:val="0"/>
          <w:sz w:val="32"/>
          <w:szCs w:val="32"/>
        </w:rPr>
        <w:t>使用情况</w:t>
      </w:r>
    </w:p>
    <w:p>
      <w:pPr>
        <w:pStyle w:val="4"/>
        <w:widowControl/>
        <w:shd w:val="clear" w:fill="FFFFFF"/>
        <w:spacing w:line="600" w:lineRule="atLeast"/>
        <w:ind w:firstLine="321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</w:rPr>
        <w:t>（一）基本支出</w:t>
      </w:r>
    </w:p>
    <w:p>
      <w:pPr>
        <w:pStyle w:val="4"/>
        <w:widowControl/>
        <w:shd w:val="clear" w:fill="FFFFFF"/>
        <w:spacing w:line="560" w:lineRule="atLeast"/>
        <w:ind w:firstLine="64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ascii="仿宋" w:hAnsi="仿宋" w:eastAsia="仿宋" w:cs="仿宋"/>
          <w:sz w:val="32"/>
          <w:szCs w:val="32"/>
        </w:rPr>
        <w:t>年度支出合计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107.04</w:t>
      </w:r>
      <w:r>
        <w:rPr>
          <w:rFonts w:ascii="仿宋" w:hAnsi="仿宋" w:eastAsia="仿宋" w:cs="仿宋"/>
          <w:sz w:val="32"/>
          <w:szCs w:val="32"/>
        </w:rPr>
        <w:t xml:space="preserve">万元，其中：基本支出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61.04</w:t>
      </w:r>
      <w:r>
        <w:rPr>
          <w:rFonts w:ascii="仿宋" w:hAnsi="仿宋" w:eastAsia="仿宋" w:cs="仿宋"/>
          <w:sz w:val="32"/>
          <w:szCs w:val="32"/>
        </w:rPr>
        <w:t>万元，占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66.75</w:t>
      </w:r>
      <w:r>
        <w:rPr>
          <w:rFonts w:ascii="仿宋" w:hAnsi="仿宋" w:eastAsia="仿宋" w:cs="仿宋"/>
          <w:sz w:val="32"/>
          <w:szCs w:val="32"/>
        </w:rPr>
        <w:t>%；项目支出</w:t>
      </w:r>
      <w:r>
        <w:rPr>
          <w:rFonts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</w:rPr>
        <w:t>万元，占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33.25</w:t>
      </w:r>
      <w:r>
        <w:rPr>
          <w:rFonts w:ascii="仿宋" w:hAnsi="仿宋" w:eastAsia="仿宋" w:cs="仿宋"/>
          <w:sz w:val="32"/>
          <w:szCs w:val="32"/>
        </w:rPr>
        <w:t>%。</w:t>
      </w:r>
    </w:p>
    <w:p>
      <w:pPr>
        <w:pStyle w:val="4"/>
        <w:ind w:firstLine="321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</w:rPr>
        <w:t>（二）一般公共预算财政拨款支出决算构成情况</w:t>
      </w:r>
    </w:p>
    <w:p>
      <w:pPr>
        <w:pStyle w:val="4"/>
        <w:jc w:val="left"/>
      </w:pPr>
      <w:r>
        <w:rPr>
          <w:rFonts w:ascii="仿宋" w:hAnsi="仿宋" w:eastAsia="仿宋" w:cs="仿宋"/>
          <w:sz w:val="32"/>
          <w:szCs w:val="32"/>
        </w:rPr>
        <w:t xml:space="preserve">   201（类）支出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107.04</w:t>
      </w:r>
      <w:r>
        <w:rPr>
          <w:rFonts w:ascii="仿宋" w:hAnsi="仿宋" w:eastAsia="仿宋" w:cs="仿宋"/>
          <w:sz w:val="32"/>
          <w:szCs w:val="32"/>
        </w:rPr>
        <w:t>万元，占100%。</w:t>
      </w:r>
    </w:p>
    <w:p>
      <w:pPr>
        <w:pStyle w:val="4"/>
        <w:ind w:firstLine="640"/>
        <w:jc w:val="left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ascii="仿宋" w:hAnsi="仿宋" w:eastAsia="仿宋" w:cs="仿宋"/>
          <w:sz w:val="32"/>
          <w:szCs w:val="32"/>
        </w:rPr>
        <w:t>年度一般公共预算财政拨款基本支出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61.04</w:t>
      </w:r>
      <w:r>
        <w:rPr>
          <w:rFonts w:ascii="仿宋" w:hAnsi="仿宋" w:eastAsia="仿宋" w:cs="仿宋"/>
          <w:sz w:val="32"/>
          <w:szCs w:val="32"/>
        </w:rPr>
        <w:t>万元，其中人员经费支出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50.173</w:t>
      </w:r>
      <w:r>
        <w:rPr>
          <w:rFonts w:ascii="仿宋" w:hAnsi="仿宋" w:eastAsia="仿宋" w:cs="仿宋"/>
          <w:sz w:val="32"/>
          <w:szCs w:val="32"/>
        </w:rPr>
        <w:t>万元，公用经费支出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ascii="仿宋" w:hAnsi="仿宋" w:eastAsia="仿宋" w:cs="仿宋"/>
          <w:sz w:val="32"/>
          <w:szCs w:val="32"/>
        </w:rPr>
        <w:t>万元。主要包括：办公费、印刷费。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基本支出主要用于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维持办机关基本运转而发生的各项支出，包括用于基本工资、津贴补贴、社会保障缴费、聘请人员工资等人员性经费和办公费、印刷费、差旅费、公务接待、公务车运行等日常公用经费等支出。</w:t>
      </w:r>
    </w:p>
    <w:p>
      <w:pPr>
        <w:pStyle w:val="4"/>
        <w:ind w:firstLine="640"/>
        <w:jc w:val="left"/>
      </w:pPr>
      <w:r>
        <w:rPr>
          <w:rFonts w:ascii="楷体" w:hAnsi="楷体" w:eastAsia="楷体" w:cs="楷体"/>
          <w:sz w:val="32"/>
          <w:szCs w:val="32"/>
        </w:rPr>
        <w:t>（</w:t>
      </w:r>
      <w:r>
        <w:rPr>
          <w:rFonts w:ascii="楷体" w:hAnsi="楷体" w:eastAsia="楷体" w:cs="楷体"/>
          <w:sz w:val="32"/>
          <w:szCs w:val="32"/>
          <w:lang w:eastAsia="zh-CN"/>
        </w:rPr>
        <w:t>三</w:t>
      </w:r>
      <w:r>
        <w:rPr>
          <w:rFonts w:ascii="楷体" w:hAnsi="楷体" w:eastAsia="楷体" w:cs="楷体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ascii="仿宋" w:hAnsi="仿宋" w:eastAsia="仿宋" w:cs="仿宋"/>
          <w:sz w:val="32"/>
          <w:szCs w:val="32"/>
        </w:rPr>
        <w:t>年“三公”经费决算为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0.4169</w:t>
      </w:r>
      <w:r>
        <w:rPr>
          <w:rFonts w:ascii="仿宋" w:hAnsi="仿宋" w:eastAsia="仿宋" w:cs="仿宋"/>
          <w:sz w:val="32"/>
          <w:szCs w:val="32"/>
        </w:rPr>
        <w:t>万元，其中：公务接待费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0.4169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ind w:firstLine="480"/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  <w:lang w:val="en-US" w:eastAsia="zh-CN" w:bidi="ar-SA"/>
        </w:rPr>
        <w:t>（四）项目支出情况</w:t>
      </w:r>
    </w:p>
    <w:p>
      <w:pPr>
        <w:pStyle w:val="4"/>
        <w:ind w:firstLine="600"/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年一般公共预算财政拨款项目支出总计46万元，其中：法律援助专项支出46万元。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三、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部门整体支出管理情况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总的来说，我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中心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财务管理较为严格，建立了《机关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确保资金的规范使用与安全。对项目资金的实施、资金投向及调度安排、固定资产购置及交付使用进行跟踪管理，确保项目资金专款专用。对于批量及单价在规定金额以上的物品采购，均实行政府采购制度。年度计划、重大支出等重大事项均经过党组会议集体讨论决定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四、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部门整体支出</w:t>
      </w:r>
      <w:r>
        <w:rPr>
          <w:color w:val="333333"/>
          <w:kern w:val="0"/>
          <w:sz w:val="32"/>
          <w:szCs w:val="32"/>
        </w:rPr>
        <w:t>绩效情况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</w:pP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根据市财政局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要求，我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中心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以绩效评估为契机，认真对照评估指标，按照年度工作计划扎实推进</w:t>
      </w:r>
      <w:r>
        <w:rPr>
          <w:rFonts w:hint="eastAsia"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2021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年度财政支出绩效自评工作。总的来说，</w:t>
      </w:r>
      <w:r>
        <w:rPr>
          <w:rFonts w:hint="eastAsia"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2021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年我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中心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全体干部职工积极履职、扎实工作，较好完成了全年工作目标。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截止2021年12月，沅江市法律援助中心共办理法律援助案件756件，其中民事案件295件，刑事诉讼案件170件，刑事认罪认罚法律帮助案件285件，行政案件6件，涉及受援人756人次;接待来电、来访法律咨询1750余人次。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律援助中心紧密结合沅江市法治宣传活动，开展法律援助宣传。2021年参加沅江市委依治办及沅江市司法局的普法宣传活动，在市区主要路段举办的民法总则宣传活动，针对农民工、下岗工人、残疾人等散发法律援助宣传单和便民联系卡10000余份，面对面宣讲法律援助基本知识300余人次。借助宣传车、电视、法治宣传平台、公共法律服务站点、如法网等现代信息平台和传播工具，广泛开展法律援助宣传，大大扩大了法律援助社会影响力和覆盖面。法援中心着力为农民工、残疾人、老年人、未成年人、妇女、军人军属等特殊群体提供法律援助服务。今年来沅江市法律援助中心共办理的各类案件中涉及农民工58人、残疾人12人、老年人80人、未成年人34人、妇女141人、退役军人5人、少数民族2人。特别是在“法援惠民生 扶贫奔小康”活动中，沅江市法律援助中心针对农村留守儿童、空巢老人、残疾人、妇女、农民工、特困户等重点对象采取上门服务、电话服务、网络服务、微信服务等手段，详细解答各类法律问题，得到了广大人民群众的高度评价。在落实重点民生实事项目上取得了明显实效，切实反映了人民群众的获得感和满意度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黑体" w:hAnsi="黑体" w:eastAsia="黑体" w:cs="宋体"/>
          <w:color w:val="333333"/>
          <w:kern w:val="0"/>
          <w:sz w:val="32"/>
          <w:szCs w:val="32"/>
        </w:rPr>
        <w:t>五、存在的主要问题</w:t>
      </w:r>
    </w:p>
    <w:p>
      <w:pPr>
        <w:pStyle w:val="4"/>
        <w:widowControl/>
        <w:spacing w:line="360" w:lineRule="atLeast"/>
        <w:ind w:firstLine="64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年，沅江市法律援助中心共办理法律援助案件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756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件，按《湖南省法律援助经费使用管理办法》的要求，刑事诉讼案件：1、侦查阶段，每件800-1500元；2、起诉阶段，每件800-1800元；3、审判阶段，每件1500-3200元；4、死刑复核阶段，每件1500-3000元；民事、行政诉讼案件及仲裁（含劳动争议仲裁）案件，每件1500-5000元。现阶段我中心一直是按文件要求的最低标准发放补贴，其他县市区都已将补贴标准提高至1800元-2000元/件；我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年仅法律援助办案补贴按最低标准就需要支付近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万余元，其中还不包括律师值班费及</w:t>
      </w:r>
      <w:r>
        <w:rPr>
          <w:rFonts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培训和宣传经费等必要的开支，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但我们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年的专项经费仅46万元，这对于我们来说远远不够更不要说将补贴的标准提高了。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黑体" w:hAnsi="黑体" w:eastAsia="黑体" w:cs="宋体"/>
          <w:color w:val="333333"/>
          <w:kern w:val="0"/>
          <w:sz w:val="32"/>
          <w:szCs w:val="32"/>
        </w:rPr>
        <w:t>七</w:t>
      </w:r>
      <w:r>
        <w:rPr>
          <w:color w:val="333333"/>
          <w:kern w:val="0"/>
          <w:sz w:val="32"/>
          <w:szCs w:val="32"/>
        </w:rPr>
        <w:t>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改进措施和有关建议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val="en-US" w:eastAsia="zh-CN"/>
        </w:rPr>
        <w:t>法律援助工作是一项惠民工程，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建议加大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法律援助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工作的经费支持力度，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我们也将继续大力推进法律援助工作，深入广泛宣传法律援助，热情为弱势群体服务，做到应援尽援，为促进社会稳定和发展作出积极贡献。</w:t>
      </w:r>
    </w:p>
    <w:p>
      <w:pPr>
        <w:pStyle w:val="4"/>
        <w:widowControl/>
        <w:shd w:val="clear" w:fill="FFFFFF"/>
        <w:spacing w:line="600" w:lineRule="atLeast"/>
        <w:ind w:firstLine="640"/>
        <w:jc w:val="righ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 </w:t>
      </w:r>
    </w:p>
    <w:p>
      <w:pPr>
        <w:pStyle w:val="4"/>
        <w:widowControl/>
        <w:shd w:val="clear" w:fill="FFFFFF"/>
        <w:spacing w:line="600" w:lineRule="atLeast"/>
        <w:ind w:firstLine="640"/>
        <w:jc w:val="center"/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  <w:lang w:val="en-US" w:eastAsia="zh-CN"/>
        </w:rPr>
        <w:t xml:space="preserve">                     </w:t>
      </w:r>
    </w:p>
    <w:p>
      <w:pPr>
        <w:pStyle w:val="4"/>
        <w:widowControl/>
        <w:shd w:val="clear" w:fill="FFFFFF"/>
        <w:spacing w:line="600" w:lineRule="atLeast"/>
        <w:ind w:firstLine="640"/>
        <w:jc w:val="center"/>
        <w:rPr>
          <w:rFonts w:ascii="宋体" w:hAnsi="宋体" w:eastAsia="宋体" w:cs="宋体"/>
          <w:color w:val="333333"/>
          <w:kern w:val="0"/>
          <w:szCs w:val="21"/>
          <w:lang w:eastAsia="zh-CN"/>
        </w:rPr>
      </w:pP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沅江市法律援助中心</w:t>
      </w:r>
    </w:p>
    <w:p>
      <w:pPr>
        <w:pStyle w:val="4"/>
        <w:widowControl/>
        <w:shd w:val="clear" w:fill="FFFFFF"/>
        <w:spacing w:line="600" w:lineRule="atLeast"/>
        <w:ind w:right="640" w:firstLine="640"/>
        <w:jc w:val="center"/>
      </w:pP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                         </w:t>
      </w:r>
      <w:r>
        <w:rPr>
          <w:rFonts w:hint="eastAsia" w:ascii="仿宋_GB2312;仿宋" w:hAnsi="仿宋_GB2312;仿宋" w:eastAsia="仿宋_GB2312;仿宋" w:cs="宋体"/>
          <w:color w:val="333333"/>
          <w:kern w:val="0"/>
          <w:sz w:val="32"/>
          <w:szCs w:val="32"/>
          <w:lang w:val="en-US" w:eastAsia="zh-CN"/>
        </w:rPr>
        <w:t xml:space="preserve">      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  </w:t>
      </w:r>
      <w:r>
        <w:rPr>
          <w:rFonts w:hint="eastAsia" w:ascii="仿宋_GB2312;仿宋" w:hAnsi="仿宋_GB2312;仿宋" w:eastAsia="仿宋_GB2312;仿宋" w:cs="宋体"/>
          <w:color w:val="333333"/>
          <w:kern w:val="0"/>
          <w:sz w:val="32"/>
          <w:szCs w:val="32"/>
          <w:lang w:val="en-US" w:eastAsia="zh-CN" w:bidi="ar-SA"/>
        </w:rPr>
        <w:t>2021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年</w:t>
      </w:r>
      <w:r>
        <w:rPr>
          <w:rFonts w:hint="eastAsia" w:eastAsia="仿宋_GB2312;仿宋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月</w:t>
      </w:r>
      <w:r>
        <w:rPr>
          <w:rFonts w:hint="eastAsia" w:eastAsia="仿宋_GB2312;仿宋" w:cs="Times New Roman"/>
          <w:color w:val="333333"/>
          <w:kern w:val="0"/>
          <w:sz w:val="32"/>
          <w:szCs w:val="32"/>
          <w:lang w:val="en-US" w:eastAsia="zh-CN" w:bidi="ar-SA"/>
        </w:rPr>
        <w:t>23</w:t>
      </w:r>
      <w:bookmarkStart w:id="0" w:name="_GoBack"/>
      <w:bookmarkEnd w:id="0"/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日</w:t>
      </w:r>
    </w:p>
    <w:p>
      <w:pPr>
        <w:pStyle w:val="4"/>
        <w:rPr>
          <w:rFonts w:ascii="宋体" w:hAnsi="宋体" w:cs="宋体"/>
          <w:color w:val="333333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0" w:footer="992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roman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;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;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;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325" cy="114935"/>
              <wp:effectExtent l="0" t="0" r="0" b="0"/>
              <wp:wrapNone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60" cy="11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PAGE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6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框架1" o:spid="_x0000_s1026" o:spt="1" style="position:absolute;left:0pt;margin-top:0.05pt;height:9.05pt;width:4.75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zN3k9MAAAACAQAADwAAAAAAAAABACAAAAAiAAAAZHJzL2Rvd25yZXYueG1sUEsBAhQAFAAAAAgA&#10;h07iQPkcjm64AQAAfgMAAA4AAAAAAAAAAQAgAAAAIgEAAGRycy9lMm9Eb2MueG1sUEsFBgAAAAAG&#10;AAYAWQEAAEwFAAAAAA==&#10;">
              <v:fill on="f" focussize="0,0"/>
              <v:stroke on="f" weight="0pt"/>
              <v:imagedata o:title=""/>
              <o:lock v:ext="edit" aspectratio="f"/>
              <v:textbox inset="0.02mm,0.02mm,0.02mm,0.02mm" style="mso-fit-shape-to-text:t;">
                <w:txbxContent>
                  <w:p>
                    <w:pPr>
                      <w:pStyle w:val="6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PAGE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6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noLeading/>
    <w:balanceSingleByteDoubleByteWidth/>
    <w:doNotExpandShiftReturn/>
    <w:useFELayout/>
    <w:compatSetting w:name="compatibilityMode" w:uri="http://schemas.microsoft.com/office/word" w:val="14"/>
  </w:compat>
  <w:docVars>
    <w:docVar w:name="commondata" w:val="eyJoZGlkIjoiZDg0NDQ5MjI1ZjZlNTAwMzM3ZmZlNzU1NWM0N2YyNDAifQ=="/>
  </w:docVars>
  <w:rsids>
    <w:rsidRoot w:val="00000000"/>
    <w:rsid w:val="0E027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sz w:val="21"/>
      <w:szCs w:val="24"/>
      <w:lang w:val="en-US" w:eastAsia="zh-CN" w:bidi="hi-I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普通(网站)1"/>
    <w:basedOn w:val="4"/>
    <w:qFormat/>
    <w:uiPriority w:val="0"/>
    <w:pPr>
      <w:widowControl/>
      <w:spacing w:before="280" w:after="280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页脚1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2313</Words>
  <Characters>2549</Characters>
  <Paragraphs>65</Paragraphs>
  <TotalTime>2</TotalTime>
  <ScaleCrop>false</ScaleCrop>
  <LinksUpToDate>false</LinksUpToDate>
  <CharactersWithSpaces>2654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2017-08-17T16:27:00Z</dcterms:created>
  <dc:creator>User</dc:creator>
  <cp:lastModifiedBy>安琦兒</cp:lastModifiedBy>
  <cp:lastPrinted>2022-08-25T01:01:31Z</cp:lastPrinted>
  <dcterms:modified xsi:type="dcterms:W3CDTF">2022-08-25T01:18:28Z</dcterms:modified>
  <dc:title>2016年度市政府金融办整体支出绩效评价报告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3353BFD611A544C6A08B575C728497C2</vt:lpwstr>
  </property>
</Properties>
</file>