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right="0"/>
        <w:jc w:val="center"/>
        <w:rPr>
          <w:rFonts w:ascii="仿宋" w:hAnsi="仿宋" w:eastAsia="仿宋" w:cs="仿宋"/>
          <w:i w:val="0"/>
          <w:iCs w:val="0"/>
          <w:caps w:val="0"/>
          <w:color w:val="333333"/>
          <w:spacing w:val="0"/>
          <w:kern w:val="0"/>
          <w:sz w:val="32"/>
          <w:szCs w:val="32"/>
          <w:shd w:val="clear" w:fill="FFFFFF"/>
          <w:lang w:val="en-US" w:eastAsia="zh-CN" w:bidi="ar"/>
        </w:rPr>
      </w:pPr>
      <w:r>
        <w:rPr>
          <w:rFonts w:hint="eastAsia" w:ascii="方正小标宋简体" w:hAnsi="楷体" w:eastAsia="方正小标宋简体" w:cs="宋体"/>
          <w:color w:val="000000"/>
          <w:spacing w:val="-20"/>
          <w:kern w:val="0"/>
          <w:sz w:val="44"/>
          <w:szCs w:val="44"/>
          <w:shd w:val="clear" w:color="auto" w:fill="FFFFFF"/>
        </w:rPr>
        <w:t>沅江市妇联20</w:t>
      </w:r>
      <w:r>
        <w:rPr>
          <w:rFonts w:hint="eastAsia" w:ascii="方正小标宋简体" w:hAnsi="楷体" w:eastAsia="方正小标宋简体" w:cs="宋体"/>
          <w:color w:val="000000"/>
          <w:spacing w:val="-20"/>
          <w:kern w:val="0"/>
          <w:sz w:val="44"/>
          <w:szCs w:val="44"/>
          <w:shd w:val="clear" w:color="auto" w:fill="FFFFFF"/>
          <w:lang w:val="en-US" w:eastAsia="zh-CN"/>
        </w:rPr>
        <w:t>21</w:t>
      </w:r>
      <w:r>
        <w:rPr>
          <w:rFonts w:hint="eastAsia" w:ascii="方正小标宋简体" w:hAnsi="楷体" w:eastAsia="方正小标宋简体" w:cs="宋体"/>
          <w:color w:val="000000"/>
          <w:spacing w:val="-20"/>
          <w:kern w:val="0"/>
          <w:sz w:val="44"/>
          <w:szCs w:val="44"/>
          <w:shd w:val="clear" w:color="auto" w:fill="FFFFFF"/>
        </w:rPr>
        <w:t>年度</w:t>
      </w:r>
      <w:r>
        <w:rPr>
          <w:rFonts w:hint="eastAsia" w:ascii="方正小标宋简体" w:hAnsi="楷体" w:eastAsia="方正小标宋简体" w:cs="宋体"/>
          <w:color w:val="000000"/>
          <w:spacing w:val="-20"/>
          <w:kern w:val="0"/>
          <w:sz w:val="44"/>
          <w:szCs w:val="44"/>
          <w:shd w:val="clear" w:color="auto" w:fill="FFFFFF"/>
          <w:lang w:val="en-US" w:eastAsia="zh-CN"/>
        </w:rPr>
        <w:t>专项</w:t>
      </w:r>
      <w:r>
        <w:rPr>
          <w:rFonts w:hint="eastAsia" w:ascii="方正小标宋简体" w:hAnsi="楷体" w:eastAsia="方正小标宋简体" w:cs="宋体"/>
          <w:color w:val="000000"/>
          <w:spacing w:val="-20"/>
          <w:kern w:val="0"/>
          <w:sz w:val="44"/>
          <w:szCs w:val="44"/>
          <w:shd w:val="clear" w:color="auto" w:fill="FFFFFF"/>
        </w:rPr>
        <w:t>支出绩效评价报告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601"/>
        <w:jc w:val="left"/>
        <w:rPr>
          <w:rFonts w:ascii="微软雅黑" w:hAnsi="微软雅黑" w:eastAsia="微软雅黑" w:cs="微软雅黑"/>
          <w:i w:val="0"/>
          <w:iCs w:val="0"/>
          <w:caps w:val="0"/>
          <w:color w:val="333333"/>
          <w:spacing w:val="0"/>
          <w:sz w:val="24"/>
          <w:szCs w:val="24"/>
        </w:rPr>
      </w:pPr>
      <w:r>
        <w:rPr>
          <w:rFonts w:ascii="仿宋" w:hAnsi="仿宋" w:eastAsia="仿宋" w:cs="仿宋"/>
          <w:i w:val="0"/>
          <w:iCs w:val="0"/>
          <w:caps w:val="0"/>
          <w:color w:val="333333"/>
          <w:spacing w:val="0"/>
          <w:kern w:val="0"/>
          <w:sz w:val="32"/>
          <w:szCs w:val="32"/>
          <w:shd w:val="clear" w:fill="FFFFFF"/>
          <w:lang w:val="en-US" w:eastAsia="zh-CN" w:bidi="ar"/>
        </w:rPr>
        <w:t>根据沅江市财政局</w:t>
      </w:r>
      <w:r>
        <w:rPr>
          <w:rFonts w:hint="eastAsia" w:ascii="仿宋" w:hAnsi="仿宋" w:eastAsia="仿宋" w:cs="仿宋"/>
          <w:i w:val="0"/>
          <w:iCs w:val="0"/>
          <w:caps w:val="0"/>
          <w:color w:val="333333"/>
          <w:spacing w:val="0"/>
          <w:kern w:val="0"/>
          <w:sz w:val="32"/>
          <w:szCs w:val="32"/>
          <w:shd w:val="clear" w:fill="FFFFFF"/>
          <w:lang w:val="en-US" w:eastAsia="zh-CN" w:bidi="ar"/>
        </w:rPr>
        <w:t>相关工作安排，</w:t>
      </w:r>
      <w:r>
        <w:rPr>
          <w:rFonts w:hint="eastAsia" w:ascii="仿宋" w:hAnsi="仿宋" w:eastAsia="仿宋" w:cs="仿宋"/>
          <w:i w:val="0"/>
          <w:iCs w:val="0"/>
          <w:caps w:val="0"/>
          <w:color w:val="000000"/>
          <w:spacing w:val="0"/>
          <w:kern w:val="0"/>
          <w:sz w:val="32"/>
          <w:szCs w:val="32"/>
          <w:shd w:val="clear" w:fill="FFFFFF"/>
          <w:lang w:val="en-US" w:eastAsia="zh-CN" w:bidi="ar"/>
        </w:rPr>
        <w:t>我会对2021年度专项资金绩效自评如下：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黑体" w:hAnsi="黑体" w:eastAsia="黑体" w:cs="黑体"/>
          <w:i w:val="0"/>
          <w:iCs w:val="0"/>
          <w:caps w:val="0"/>
          <w:color w:val="333333"/>
          <w:spacing w:val="0"/>
          <w:sz w:val="24"/>
          <w:szCs w:val="24"/>
        </w:rPr>
      </w:pPr>
      <w:r>
        <w:rPr>
          <w:rFonts w:hint="eastAsia" w:ascii="黑体" w:hAnsi="黑体" w:eastAsia="黑体" w:cs="黑体"/>
          <w:i w:val="0"/>
          <w:iCs w:val="0"/>
          <w:caps w:val="0"/>
          <w:color w:val="000000"/>
          <w:spacing w:val="0"/>
          <w:kern w:val="0"/>
          <w:sz w:val="32"/>
          <w:szCs w:val="32"/>
          <w:shd w:val="clear" w:fill="FFFFFF"/>
          <w:lang w:val="en-US" w:eastAsia="zh-CN" w:bidi="ar"/>
        </w:rPr>
        <w:t>一、项目基本情况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（一）项目单位基本情况</w:t>
      </w:r>
      <w:bookmarkStart w:id="0" w:name="_GoBack"/>
      <w:bookmarkEnd w:id="0"/>
    </w:p>
    <w:p>
      <w:p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根据编委核定，</w:t>
      </w:r>
      <w:r>
        <w:rPr>
          <w:rFonts w:hint="eastAsia" w:ascii="仿宋" w:hAnsi="仿宋" w:eastAsia="仿宋" w:cs="宋体"/>
          <w:color w:val="000000"/>
          <w:kern w:val="0"/>
          <w:sz w:val="32"/>
          <w:szCs w:val="32"/>
        </w:rPr>
        <w:t>我会内设股室</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个，即办公室（组织宣传部）、妇女发展部（权益部），家庭和儿童工作部</w:t>
      </w:r>
      <w:r>
        <w:rPr>
          <w:rFonts w:hint="eastAsia" w:ascii="仿宋" w:hAnsi="仿宋" w:eastAsia="仿宋" w:cs="宋体"/>
          <w:color w:val="000000"/>
          <w:kern w:val="0"/>
          <w:sz w:val="32"/>
          <w:szCs w:val="32"/>
          <w:lang w:eastAsia="zh-CN"/>
        </w:rPr>
        <w:t>。</w:t>
      </w:r>
      <w:r>
        <w:rPr>
          <w:rFonts w:hint="eastAsia" w:ascii="仿宋_GB2312" w:hAnsi="方正仿宋简体" w:eastAsia="仿宋_GB2312" w:cs="方正仿宋简体"/>
          <w:sz w:val="32"/>
          <w:szCs w:val="32"/>
        </w:rPr>
        <w:t>现有在职全额行政干部</w:t>
      </w:r>
      <w:r>
        <w:rPr>
          <w:rFonts w:hint="eastAsia" w:ascii="仿宋_GB2312" w:hAnsi="方正仿宋简体" w:eastAsia="仿宋_GB2312" w:cs="方正仿宋简体"/>
          <w:sz w:val="32"/>
          <w:szCs w:val="32"/>
          <w:lang w:val="en-US" w:eastAsia="zh-CN"/>
        </w:rPr>
        <w:t>6</w:t>
      </w:r>
      <w:r>
        <w:rPr>
          <w:rFonts w:hint="eastAsia" w:ascii="仿宋_GB2312" w:hAnsi="方正仿宋简体" w:eastAsia="仿宋_GB2312" w:cs="方正仿宋简体"/>
          <w:sz w:val="32"/>
          <w:szCs w:val="32"/>
        </w:rPr>
        <w:t>人，退休干部2人。</w:t>
      </w:r>
      <w:r>
        <w:rPr>
          <w:rFonts w:hint="eastAsia" w:ascii="仿宋" w:hAnsi="仿宋" w:eastAsia="仿宋" w:cs="宋体"/>
          <w:color w:val="000000"/>
          <w:kern w:val="0"/>
          <w:sz w:val="32"/>
          <w:szCs w:val="32"/>
        </w:rPr>
        <w:t>全部纳入202</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年部门预算编制范围。</w:t>
      </w:r>
      <w:r>
        <w:rPr>
          <w:rFonts w:hint="eastAsia" w:ascii="宋体" w:hAnsi="宋体" w:eastAsia="仿宋" w:cs="宋体"/>
          <w:color w:val="000000"/>
          <w:kern w:val="0"/>
          <w:sz w:val="32"/>
          <w:szCs w:val="32"/>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（二）主要工作职责</w:t>
      </w:r>
    </w:p>
    <w:p>
      <w:p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组织引导妇女学习贯彻习近平新时代中国特色社会主义思想和党的路线方针政策，用中国特色社会主义共同理想凝聚妇女。</w:t>
      </w:r>
    </w:p>
    <w:p>
      <w:p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指导全市各级妇联依据《中华全国妇女联合会章程》和妇女代表大会的决定、决议，开展妇女儿童工作，联系团体会员，并给予业务指导。</w:t>
      </w:r>
    </w:p>
    <w:p>
      <w:p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协调并争取支持妇女发展的政策措施，参与扶贫，帮助妇女脱贫致富，开展技能培训，加大妇女创业创新服务平台建设，促进妇女创业就业，指导和推动全市农村妇女“双学双比”活动、城镇妇女“巾帼建功”活动。</w:t>
      </w:r>
    </w:p>
    <w:p>
      <w:p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团结动员妇女投身改革开放和社会主义经济建设、政治建设、文化建设、社会建设和生态文明建设，注重发挥妇女在社会生活和家庭生活中的独特作用，为中国特色社会主义伟大实践作贡献。</w:t>
      </w:r>
    </w:p>
    <w:p>
      <w:p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维护妇女儿童合法权益，调查研究妇女、儿童问题，为市委、市政府决策提供依据，提出建议。动员妇女参与国家和社会事务的民主管理、民主监督，促进妇女参政议政和参与有关妇女儿童的政策文件的制定。推动保障妇女权益法律政策和妇女、儿童发展纲要的实施。</w:t>
      </w:r>
    </w:p>
    <w:p>
      <w:p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教育引导妇女树立自尊、自信、自立、自强的精神，提高综合素质，实现全面发展。宣传马克思主义妇女观，推动落实男女平等基本国策，营造有利于妇女全面发展的社会环境。宣传表彰优秀妇女典型，培养、推荐女性人才。</w:t>
      </w:r>
    </w:p>
    <w:p>
      <w:p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7、</w:t>
      </w:r>
      <w:r>
        <w:rPr>
          <w:rFonts w:hint="eastAsia" w:ascii="仿宋" w:hAnsi="仿宋" w:eastAsia="仿宋" w:cs="宋体"/>
          <w:color w:val="000000"/>
          <w:kern w:val="0"/>
          <w:sz w:val="32"/>
          <w:szCs w:val="32"/>
        </w:rPr>
        <w:t>教育引导妇女践行社会主义核心价值观，弘扬中华优秀文化，开展“文明家庭”“最美家庭”“绿色家庭”“书香家庭”等创建活动，支持服务家庭教育，传承中华民族家庭美德，树立良好家风，推动形成家庭文明新风尚。</w:t>
      </w:r>
    </w:p>
    <w:p>
      <w:p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8、</w:t>
      </w:r>
      <w:r>
        <w:rPr>
          <w:rFonts w:hint="eastAsia" w:ascii="仿宋" w:hAnsi="仿宋" w:eastAsia="仿宋" w:cs="宋体"/>
          <w:color w:val="000000"/>
          <w:kern w:val="0"/>
          <w:sz w:val="32"/>
          <w:szCs w:val="32"/>
        </w:rPr>
        <w:t>加强城乡基层妇女组织建设，扩大组织网络，拓宽工作领域。联系和引导女性社会组织，加强与社会各界的协作，推动全社会为妇女儿童和家庭服务。</w:t>
      </w:r>
    </w:p>
    <w:p>
      <w:p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9、</w:t>
      </w:r>
      <w:r>
        <w:rPr>
          <w:rFonts w:hint="eastAsia" w:ascii="仿宋" w:hAnsi="仿宋" w:eastAsia="仿宋" w:cs="宋体"/>
          <w:color w:val="000000"/>
          <w:kern w:val="0"/>
          <w:sz w:val="32"/>
          <w:szCs w:val="32"/>
        </w:rPr>
        <w:t>完成市委、市政府交办的其他任务。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（三）专项立项依据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w:t>
      </w:r>
      <w:r>
        <w:rPr>
          <w:rFonts w:hint="default" w:ascii="仿宋" w:hAnsi="仿宋" w:eastAsia="仿宋" w:cs="仿宋"/>
          <w:i w:val="0"/>
          <w:iCs w:val="0"/>
          <w:caps w:val="0"/>
          <w:color w:val="000000"/>
          <w:spacing w:val="0"/>
          <w:kern w:val="0"/>
          <w:sz w:val="32"/>
          <w:szCs w:val="32"/>
          <w:shd w:val="clear" w:fill="FFFFFF"/>
          <w:lang w:val="en-US" w:eastAsia="zh-CN" w:bidi="ar"/>
        </w:rPr>
        <w:fldChar w:fldCharType="begin"/>
      </w:r>
      <w:r>
        <w:rPr>
          <w:rFonts w:hint="default" w:ascii="仿宋" w:hAnsi="仿宋" w:eastAsia="仿宋" w:cs="仿宋"/>
          <w:i w:val="0"/>
          <w:iCs w:val="0"/>
          <w:caps w:val="0"/>
          <w:color w:val="000000"/>
          <w:spacing w:val="0"/>
          <w:kern w:val="0"/>
          <w:sz w:val="32"/>
          <w:szCs w:val="32"/>
          <w:shd w:val="clear" w:fill="FFFFFF"/>
          <w:lang w:val="en-US" w:eastAsia="zh-CN" w:bidi="ar"/>
        </w:rPr>
        <w:instrText xml:space="preserve"> HYPERLINK "https://baike.sogou.com/lemma/ShowInnerLink.htm?lemmaId=1713516&amp;ss_c=ssc.citiao.link" \t "https://baike.sogou.com/_blank" </w:instrText>
      </w:r>
      <w:r>
        <w:rPr>
          <w:rFonts w:hint="default" w:ascii="仿宋" w:hAnsi="仿宋" w:eastAsia="仿宋" w:cs="仿宋"/>
          <w:i w:val="0"/>
          <w:iCs w:val="0"/>
          <w:caps w:val="0"/>
          <w:color w:val="000000"/>
          <w:spacing w:val="0"/>
          <w:kern w:val="0"/>
          <w:sz w:val="32"/>
          <w:szCs w:val="32"/>
          <w:shd w:val="clear" w:fill="FFFFFF"/>
          <w:lang w:val="en-US" w:eastAsia="zh-CN" w:bidi="ar"/>
        </w:rPr>
        <w:fldChar w:fldCharType="separate"/>
      </w:r>
      <w:r>
        <w:rPr>
          <w:rFonts w:hint="default" w:ascii="仿宋" w:hAnsi="仿宋" w:eastAsia="仿宋" w:cs="仿宋"/>
          <w:i w:val="0"/>
          <w:iCs w:val="0"/>
          <w:caps w:val="0"/>
          <w:color w:val="000000"/>
          <w:spacing w:val="0"/>
          <w:kern w:val="0"/>
          <w:sz w:val="32"/>
          <w:szCs w:val="32"/>
          <w:shd w:val="clear" w:fill="FFFFFF"/>
          <w:lang w:val="en-US" w:eastAsia="zh-CN" w:bidi="ar"/>
        </w:rPr>
        <w:t>中华人民共和国妇女权益保障法</w:t>
      </w:r>
      <w:r>
        <w:rPr>
          <w:rFonts w:hint="default" w:ascii="仿宋" w:hAnsi="仿宋" w:eastAsia="仿宋" w:cs="仿宋"/>
          <w:i w:val="0"/>
          <w:iCs w:val="0"/>
          <w:caps w:val="0"/>
          <w:color w:val="000000"/>
          <w:spacing w:val="0"/>
          <w:kern w:val="0"/>
          <w:sz w:val="32"/>
          <w:szCs w:val="32"/>
          <w:shd w:val="clear" w:fill="FFFFFF"/>
          <w:lang w:val="en-US" w:eastAsia="zh-CN" w:bidi="ar"/>
        </w:rPr>
        <w:fldChar w:fldCharType="end"/>
      </w:r>
      <w:r>
        <w:rPr>
          <w:rFonts w:hint="default" w:ascii="仿宋" w:hAnsi="仿宋" w:eastAsia="仿宋" w:cs="仿宋"/>
          <w:i w:val="0"/>
          <w:iCs w:val="0"/>
          <w:caps w:val="0"/>
          <w:color w:val="000000"/>
          <w:spacing w:val="0"/>
          <w:kern w:val="0"/>
          <w:sz w:val="32"/>
          <w:szCs w:val="32"/>
          <w:shd w:val="clear" w:fill="FFFFFF"/>
          <w:lang w:val="en-US" w:eastAsia="zh-CN" w:bidi="ar"/>
        </w:rPr>
        <w:t>》</w:t>
      </w:r>
      <w:r>
        <w:rPr>
          <w:rFonts w:hint="eastAsia" w:ascii="仿宋" w:hAnsi="仿宋" w:eastAsia="仿宋" w:cs="仿宋"/>
          <w:i w:val="0"/>
          <w:iCs w:val="0"/>
          <w:caps w:val="0"/>
          <w:color w:val="000000"/>
          <w:spacing w:val="0"/>
          <w:kern w:val="0"/>
          <w:sz w:val="32"/>
          <w:szCs w:val="32"/>
          <w:shd w:val="clear" w:fill="FFFFFF"/>
          <w:lang w:val="en-US" w:eastAsia="zh-CN" w:bidi="ar"/>
        </w:rPr>
        <w:t>、</w:t>
      </w:r>
      <w:r>
        <w:rPr>
          <w:rFonts w:hint="default" w:eastAsia="仿宋_GB2312"/>
          <w:sz w:val="32"/>
          <w:szCs w:val="32"/>
        </w:rPr>
        <w:t>《中华全国妇女联合会章程》</w:t>
      </w:r>
      <w:r>
        <w:rPr>
          <w:rFonts w:hint="eastAsia" w:eastAsia="仿宋_GB2312"/>
          <w:sz w:val="32"/>
          <w:szCs w:val="32"/>
          <w:lang w:eastAsia="zh-CN"/>
        </w:rPr>
        <w:t>、</w:t>
      </w:r>
      <w:r>
        <w:rPr>
          <w:rFonts w:hint="eastAsia" w:ascii="仿宋_GB2312" w:eastAsia="仿宋_GB2312"/>
          <w:sz w:val="32"/>
          <w:szCs w:val="32"/>
        </w:rPr>
        <w:t>《中共沅江市委办公室关于印发&lt;沅江市妇联改革实施方案&gt;的通知》（沅办发[2018]16号）</w:t>
      </w:r>
      <w:r>
        <w:rPr>
          <w:rFonts w:hint="eastAsia" w:ascii="仿宋" w:hAnsi="仿宋" w:eastAsia="仿宋" w:cs="仿宋"/>
          <w:i w:val="0"/>
          <w:iCs w:val="0"/>
          <w:caps w:val="0"/>
          <w:color w:val="000000"/>
          <w:spacing w:val="0"/>
          <w:kern w:val="0"/>
          <w:sz w:val="32"/>
          <w:szCs w:val="32"/>
          <w:shd w:val="clear" w:fill="FFFFFF"/>
          <w:lang w:val="en-US" w:eastAsia="zh-CN" w:bidi="ar"/>
        </w:rPr>
        <w:t>等文件精神。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黑体" w:hAnsi="黑体" w:eastAsia="黑体" w:cs="黑体"/>
          <w:i w:val="0"/>
          <w:iCs w:val="0"/>
          <w:caps w:val="0"/>
          <w:color w:val="333333"/>
          <w:spacing w:val="0"/>
          <w:sz w:val="24"/>
          <w:szCs w:val="24"/>
        </w:rPr>
      </w:pPr>
      <w:r>
        <w:rPr>
          <w:rFonts w:hint="eastAsia" w:ascii="黑体" w:hAnsi="黑体" w:eastAsia="黑体" w:cs="黑体"/>
          <w:i w:val="0"/>
          <w:iCs w:val="0"/>
          <w:caps w:val="0"/>
          <w:color w:val="000000"/>
          <w:spacing w:val="0"/>
          <w:kern w:val="0"/>
          <w:sz w:val="32"/>
          <w:szCs w:val="32"/>
          <w:shd w:val="clear" w:fill="FFFFFF"/>
          <w:lang w:val="en-US" w:eastAsia="zh-CN" w:bidi="ar"/>
        </w:rPr>
        <w:t>二、绩效评价指标分析情况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（一）项目资金情况分析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1、项目资金到位情况分析</w:t>
      </w:r>
    </w:p>
    <w:p>
      <w:pPr>
        <w:widowControl/>
        <w:shd w:val="clear" w:color="auto" w:fill="FFFFFF"/>
        <w:spacing w:line="560" w:lineRule="atLeast"/>
        <w:ind w:firstLine="640" w:firstLineChars="200"/>
        <w:rPr>
          <w:rFonts w:ascii="仿宋_GB2312" w:hAnsi="方正仿宋简体" w:eastAsia="仿宋_GB2312" w:cs="方正仿宋简体"/>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2020年我会有专项项目3个</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妇女儿童工作项目支出37万元，主要用于为妇女儿童服务，加强与社会各界的联系，推动社会各界为妇女儿童办实事，办好事等方面；婚调工作项目支出10万元，主要用于对婚姻状况进行指导、调解，促进家庭和谐，促进社会和谐等方面；乡镇妇联组织工作项目支出28万元，主要用于教育引导广大妇女增加自尊、自强、自信、自立、自强精神，全面提高素质，促进妇女人才成长等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2、项目资金管理情况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我会机关财务制度健全，管理规范,账务处理及时，会计核算规范。专项资金严格按照国家规定的项目资金相关法律、法规的规定和要求使用，确保资金的专款专用。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3、专项实施内容</w:t>
      </w:r>
    </w:p>
    <w:p>
      <w:pPr>
        <w:spacing w:line="560" w:lineRule="exact"/>
        <w:ind w:firstLine="640" w:firstLineChars="200"/>
        <w:rPr>
          <w:rFonts w:ascii="仿宋_GB2312" w:hAnsi="仿宋" w:eastAsia="仿宋_GB2312" w:cs="仿宋_GB2312"/>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2021年度项目专项主要用于</w:t>
      </w:r>
      <w:r>
        <w:rPr>
          <w:rFonts w:hint="eastAsia" w:ascii="仿宋" w:hAnsi="仿宋" w:eastAsia="仿宋" w:cs="仿宋"/>
          <w:sz w:val="32"/>
          <w:szCs w:val="32"/>
          <w:lang w:val="en-US" w:eastAsia="zh-CN"/>
        </w:rPr>
        <w:t>贯彻男女平等基本国策，落实妇女儿童发展纲要，保障妇女儿童权益，积极发挥妇联组织教育、引导、服务广大妇女的桥梁和纽带作用，引领广大妇女听党话跟党走，积极参与疫情防控、乡村振兴、脱贫攻坚、人居环境整治、社会治理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4、项目管理情况分析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我会项目建设组织机构健全，有主管领导、分管领导和财务管理人员、具体负责人。项目按照以下程序实施：项目下达—项目审查—项目经费财政预审—项目日常支出审核—项目绩效评估。在项目实施过程中，对支出采取定期和不定期检查的方式，进行监督检查，其项目资金监督管理到位，效果较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（二）项目绩效情况分析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1、项目经济性分析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2021我会的所有专项资金按照相关规定专款专用，并且取得了良好的经济效果。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2、项目的效率性分析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2021年我会的所有专项资金项目都严格按照有关规定执行，都是按照法定程序要求先申报后开支。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3、项目的效益性分析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微软雅黑" w:hAnsi="微软雅黑" w:eastAsia="仿宋" w:cs="微软雅黑"/>
          <w:i w:val="0"/>
          <w:iCs w:val="0"/>
          <w:caps w:val="0"/>
          <w:color w:val="333333"/>
          <w:spacing w:val="0"/>
          <w:sz w:val="24"/>
          <w:szCs w:val="24"/>
          <w:lang w:eastAsia="zh-CN"/>
        </w:rPr>
      </w:pPr>
      <w:r>
        <w:rPr>
          <w:rFonts w:ascii="仿宋" w:hAnsi="仿宋" w:eastAsia="仿宋" w:cs="仿宋"/>
          <w:sz w:val="32"/>
          <w:szCs w:val="32"/>
        </w:rPr>
        <w:t>我</w:t>
      </w:r>
      <w:r>
        <w:rPr>
          <w:rFonts w:hint="eastAsia" w:ascii="仿宋" w:hAnsi="仿宋" w:eastAsia="仿宋" w:cs="仿宋"/>
          <w:sz w:val="32"/>
          <w:szCs w:val="32"/>
        </w:rPr>
        <w:t>市</w:t>
      </w:r>
      <w:r>
        <w:rPr>
          <w:rFonts w:ascii="仿宋" w:hAnsi="仿宋" w:eastAsia="仿宋" w:cs="仿宋"/>
          <w:sz w:val="32"/>
          <w:szCs w:val="32"/>
        </w:rPr>
        <w:t>男女平等基本国策宣讲</w:t>
      </w:r>
      <w:r>
        <w:rPr>
          <w:rFonts w:hint="eastAsia" w:ascii="仿宋" w:hAnsi="仿宋" w:eastAsia="仿宋" w:cs="仿宋"/>
          <w:sz w:val="32"/>
          <w:szCs w:val="32"/>
        </w:rPr>
        <w:t>已</w:t>
      </w:r>
      <w:r>
        <w:rPr>
          <w:rFonts w:ascii="仿宋" w:hAnsi="仿宋" w:eastAsia="仿宋" w:cs="仿宋"/>
          <w:sz w:val="32"/>
          <w:szCs w:val="32"/>
        </w:rPr>
        <w:t>进入党校主体班课程</w:t>
      </w:r>
      <w:r>
        <w:rPr>
          <w:rFonts w:hint="eastAsia" w:ascii="仿宋" w:hAnsi="仿宋" w:eastAsia="仿宋" w:cs="仿宋"/>
          <w:sz w:val="32"/>
          <w:szCs w:val="32"/>
        </w:rPr>
        <w:t>，</w:t>
      </w:r>
      <w:r>
        <w:rPr>
          <w:rFonts w:ascii="仿宋" w:hAnsi="仿宋" w:eastAsia="仿宋" w:cs="仿宋"/>
          <w:sz w:val="32"/>
          <w:szCs w:val="32"/>
        </w:rPr>
        <w:t>男女平等基本国策得到有效贯彻执行</w:t>
      </w:r>
      <w:r>
        <w:rPr>
          <w:rFonts w:hint="eastAsia" w:ascii="仿宋" w:hAnsi="仿宋" w:eastAsia="仿宋" w:cs="仿宋"/>
          <w:sz w:val="32"/>
          <w:szCs w:val="32"/>
        </w:rPr>
        <w:t>，</w:t>
      </w:r>
      <w:r>
        <w:rPr>
          <w:rFonts w:ascii="仿宋" w:hAnsi="仿宋" w:eastAsia="仿宋" w:cs="仿宋"/>
          <w:sz w:val="32"/>
          <w:szCs w:val="32"/>
        </w:rPr>
        <w:t>促进社会性别平等意识进入决策主流</w:t>
      </w:r>
      <w:r>
        <w:rPr>
          <w:rFonts w:hint="eastAsia" w:ascii="仿宋" w:hAnsi="仿宋" w:eastAsia="仿宋" w:cs="仿宋"/>
          <w:sz w:val="32"/>
          <w:szCs w:val="32"/>
        </w:rPr>
        <w:t>。</w:t>
      </w:r>
      <w:r>
        <w:rPr>
          <w:rFonts w:ascii="仿宋" w:hAnsi="仿宋" w:eastAsia="仿宋" w:cs="仿宋"/>
          <w:sz w:val="32"/>
          <w:szCs w:val="32"/>
        </w:rPr>
        <w:t>建立婚姻家庭纠纷</w:t>
      </w:r>
      <w:r>
        <w:rPr>
          <w:rFonts w:hint="eastAsia" w:ascii="仿宋" w:hAnsi="仿宋" w:eastAsia="仿宋" w:cs="仿宋"/>
          <w:sz w:val="32"/>
          <w:szCs w:val="32"/>
        </w:rPr>
        <w:t>预防和化解机制，构建市、镇、村三级婚姻调解平台</w:t>
      </w:r>
      <w:r>
        <w:rPr>
          <w:rFonts w:hint="eastAsia" w:ascii="仿宋" w:hAnsi="仿宋" w:eastAsia="仿宋" w:cs="仿宋"/>
          <w:sz w:val="32"/>
          <w:szCs w:val="32"/>
          <w:lang w:eastAsia="zh-CN"/>
        </w:rPr>
        <w:t>。</w:t>
      </w:r>
      <w:r>
        <w:rPr>
          <w:rFonts w:hint="eastAsia" w:ascii="仿宋" w:hAnsi="仿宋" w:eastAsia="仿宋" w:cs="仿宋"/>
          <w:kern w:val="2"/>
          <w:sz w:val="32"/>
          <w:szCs w:val="32"/>
        </w:rPr>
        <w:t>围绕“产业兴旺、生态宜居、乡风文明、治理有效、生活富裕”的总要求，在农村经济发展、生态环境保护、乡风文明建设、农村弱势群体关爱等方面发挥妇联组织的独特作用，最广泛地把农村妇女动员起来、组织起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三、综合评价情况及评价结论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2021年我会实施的专项资金项目总体评价是：项目科学合理，项目管理规范，项目监管到位，项目完成较好，项目质量较高，运行保障有力，基层单位反响较好，社会经济效益显著。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xMjIzNDM0NzBhODU4NGZlNGVmZjA3YWUyZGNjZjcifQ=="/>
  </w:docVars>
  <w:rsids>
    <w:rsidRoot w:val="00000000"/>
    <w:rsid w:val="00E42993"/>
    <w:rsid w:val="1F6036BB"/>
    <w:rsid w:val="25EC4A71"/>
    <w:rsid w:val="29DA0DC7"/>
    <w:rsid w:val="39CA6BD6"/>
    <w:rsid w:val="41ED2AD2"/>
    <w:rsid w:val="60000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2129</Words>
  <Characters>2173</Characters>
  <Lines>0</Lines>
  <Paragraphs>0</Paragraphs>
  <TotalTime>1</TotalTime>
  <ScaleCrop>false</ScaleCrop>
  <LinksUpToDate>false</LinksUpToDate>
  <CharactersWithSpaces>2174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2021-09-02T08:56:00Z</dcterms:created>
  <dc:creator>Administrator</dc:creator>
  <cp:lastModifiedBy>ct叶绿素</cp:lastModifiedBy>
  <dcterms:modified xsi:type="dcterms:W3CDTF">2022-09-01T01:03:56Z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4D7B405B17874BCA9545331FA1E7A572</vt:lpwstr>
  </property>
</Properties>
</file>