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660" w:lineRule="exact"/>
        <w:jc w:val="center"/>
        <w:textAlignment w:val="auto"/>
        <w:rPr>
          <w:rFonts w:ascii="Helvetica" w:hAnsi="Helvetica" w:eastAsia="宋体" w:cs="Helvetica"/>
          <w:b/>
          <w:bCs/>
          <w:sz w:val="45"/>
          <w:szCs w:val="45"/>
        </w:rPr>
      </w:pPr>
      <w:bookmarkStart w:id="0" w:name="_GoBack"/>
      <w:r>
        <w:rPr>
          <w:rFonts w:hint="eastAsia" w:ascii="方正小标宋简体" w:hAnsi="方正小标宋简体" w:eastAsia="方正小标宋简体" w:cs="方正小标宋简体"/>
          <w:b w:val="0"/>
          <w:bCs w:val="0"/>
          <w:sz w:val="44"/>
          <w:szCs w:val="44"/>
        </w:rPr>
        <w:t>沅江市行政审批服务局</w:t>
      </w:r>
      <w:r>
        <w:rPr>
          <w:rFonts w:hint="eastAsia" w:ascii="方正小标宋简体" w:hAnsi="方正小标宋简体" w:eastAsia="方正小标宋简体" w:cs="方正小标宋简体"/>
          <w:b w:val="0"/>
          <w:bCs w:val="0"/>
          <w:sz w:val="44"/>
          <w:szCs w:val="44"/>
          <w:lang w:eastAsia="zh-CN"/>
        </w:rPr>
        <w:t>2021</w:t>
      </w:r>
      <w:r>
        <w:rPr>
          <w:rFonts w:hint="eastAsia" w:ascii="方正小标宋简体" w:hAnsi="方正小标宋简体" w:eastAsia="方正小标宋简体" w:cs="方正小标宋简体"/>
          <w:b w:val="0"/>
          <w:bCs w:val="0"/>
          <w:sz w:val="44"/>
          <w:szCs w:val="44"/>
        </w:rPr>
        <w:t>年度专项支出绩效评价报告</w:t>
      </w:r>
      <w:r>
        <w:rPr>
          <w:rFonts w:hint="eastAsia" w:ascii="方正小标宋简体" w:hAnsi="方正小标宋简体" w:eastAsia="方正小标宋简体" w:cs="方正小标宋简体"/>
          <w:b w:val="0"/>
          <w:bCs w:val="0"/>
          <w:sz w:val="44"/>
          <w:szCs w:val="44"/>
          <w:shd w:val="clear" w:color="auto" w:fill="FFFFFF"/>
        </w:rPr>
        <w:t>　</w:t>
      </w:r>
      <w:r>
        <w:rPr>
          <w:rFonts w:hint="eastAsia" w:ascii="黑体" w:hAnsi="黑体" w:eastAsia="黑体" w:cs="Times New Roman"/>
          <w:sz w:val="32"/>
          <w:szCs w:val="32"/>
          <w:shd w:val="clear" w:color="auto" w:fill="FFFFFF"/>
        </w:rPr>
        <w:t>　</w:t>
      </w:r>
    </w:p>
    <w:bookmarkEnd w:id="0"/>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根据《湖南省人民政府关于全面推进预算绩效管理的意见》，我局对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年度专项资金绩效评价如下：</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宋体" w:cs="Times New Roman"/>
          <w:sz w:val="21"/>
          <w:szCs w:val="21"/>
        </w:rPr>
      </w:pPr>
      <w:r>
        <w:rPr>
          <w:rFonts w:hint="eastAsia" w:ascii="黑体" w:hAnsi="黑体" w:eastAsia="黑体" w:cs="Times New Roman"/>
          <w:sz w:val="32"/>
          <w:szCs w:val="32"/>
        </w:rPr>
        <w:t>一、项目基本情况</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　(一)项目概况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单位机构设置及人员情况</w:t>
      </w:r>
    </w:p>
    <w:p>
      <w:pPr>
        <w:keepNext w:val="0"/>
        <w:keepLines w:val="0"/>
        <w:pageBreakBefore w:val="0"/>
        <w:widowControl/>
        <w:kinsoku/>
        <w:wordWrap/>
        <w:overflowPunct/>
        <w:topLinePunct w:val="0"/>
        <w:autoSpaceDE/>
        <w:autoSpaceDN/>
        <w:bidi w:val="0"/>
        <w:adjustRightInd/>
        <w:spacing w:after="0" w:line="560" w:lineRule="exact"/>
        <w:ind w:firstLine="64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沅江市行政审批服务局成立于2019年3月，根据编委核定，我局内设综合股、窗口管理股、行政审批改革股、政务服务管理股、电子政务与数据资源管理股等５个股室，所属正股级事业单位１个（沅江市政务服务中心），所属副科级独立二级机构１个（沅江市政务信息中心），全部纳入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年部门预算编制范围。</w:t>
      </w:r>
      <w:r>
        <w:rPr>
          <w:rFonts w:hint="eastAsia" w:ascii="仿宋_GB2312" w:hAnsi="仿宋_GB2312" w:eastAsia="仿宋_GB2312" w:cs="仿宋_GB2312"/>
          <w:sz w:val="32"/>
          <w:szCs w:val="32"/>
          <w:shd w:val="clear" w:color="auto" w:fill="FFFFFF"/>
        </w:rPr>
        <w:t>纳入部门预算编制</w:t>
      </w:r>
      <w:r>
        <w:rPr>
          <w:rFonts w:hint="eastAsia" w:ascii="仿宋_GB2312" w:hAnsi="仿宋_GB2312" w:eastAsia="仿宋_GB2312" w:cs="仿宋_GB2312"/>
          <w:sz w:val="32"/>
          <w:szCs w:val="32"/>
          <w:shd w:val="clear" w:color="auto" w:fill="FFFFFF"/>
          <w:lang w:val="en-US" w:eastAsia="zh-CN"/>
        </w:rPr>
        <w:t>18</w:t>
      </w:r>
      <w:r>
        <w:rPr>
          <w:rFonts w:hint="eastAsia" w:ascii="仿宋_GB2312" w:hAnsi="仿宋_GB2312" w:eastAsia="仿宋_GB2312" w:cs="仿宋_GB2312"/>
          <w:sz w:val="32"/>
          <w:szCs w:val="32"/>
          <w:shd w:val="clear" w:color="auto" w:fill="FFFFFF"/>
        </w:rPr>
        <w:t>人。其中：实有在职人员</w:t>
      </w:r>
      <w:r>
        <w:rPr>
          <w:rFonts w:hint="eastAsia" w:ascii="仿宋_GB2312" w:hAnsi="仿宋_GB2312" w:eastAsia="仿宋_GB2312" w:cs="仿宋_GB2312"/>
          <w:sz w:val="32"/>
          <w:szCs w:val="32"/>
          <w:shd w:val="clear" w:color="auto" w:fill="FFFFFF"/>
          <w:lang w:val="en-US" w:eastAsia="zh-CN"/>
        </w:rPr>
        <w:t>18</w:t>
      </w:r>
      <w:r>
        <w:rPr>
          <w:rFonts w:hint="eastAsia" w:ascii="仿宋_GB2312" w:hAnsi="仿宋_GB2312" w:eastAsia="仿宋_GB2312" w:cs="仿宋_GB2312"/>
          <w:sz w:val="32"/>
          <w:szCs w:val="32"/>
          <w:shd w:val="clear" w:color="auto" w:fill="FFFFFF"/>
        </w:rPr>
        <w:t>人，离退休人员０人，遗属０人。</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单位主要工作职能</w:t>
      </w:r>
    </w:p>
    <w:p>
      <w:pPr>
        <w:keepNext w:val="0"/>
        <w:keepLines w:val="0"/>
        <w:pageBreakBefore w:val="0"/>
        <w:widowControl/>
        <w:shd w:val="clear" w:color="auto" w:fill="FFFFFF"/>
        <w:kinsoku/>
        <w:wordWrap/>
        <w:overflowPunct/>
        <w:topLinePunct w:val="0"/>
        <w:autoSpaceDE/>
        <w:autoSpaceDN/>
        <w:bidi w:val="0"/>
        <w:adjustRightInd/>
        <w:spacing w:after="0" w:line="560" w:lineRule="exact"/>
        <w:ind w:firstLine="64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贯彻落实党中央关于行政审批制度改革、政务管理服务、智慧城市建设、数据资源管理工作的方针政策和决策部署，全面落实市委、市政府关于行政审批制度改革、政务管理服务、智慧城市建设、数据资源管理工作的部署要求，在履行职责过程中坚持和加强党对行政审批改革、政务管理服务、智慧城市建设、数据资源管理工作的集中统一领导。</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ascii="Times New Roman" w:hAnsi="Times New Roman" w:eastAsia="宋体" w:cs="Times New Roman"/>
          <w:sz w:val="21"/>
          <w:szCs w:val="21"/>
        </w:rPr>
      </w:pPr>
      <w:r>
        <w:rPr>
          <w:rFonts w:hint="eastAsia" w:ascii="黑体" w:hAnsi="黑体" w:eastAsia="黑体" w:cs="Times New Roman"/>
          <w:sz w:val="32"/>
          <w:szCs w:val="32"/>
        </w:rPr>
        <w:t>　</w:t>
      </w:r>
      <w:r>
        <w:rPr>
          <w:rFonts w:hint="eastAsia" w:ascii="华文楷体" w:hAnsi="华文楷体" w:eastAsia="华文楷体" w:cs="华文楷体"/>
          <w:b w:val="0"/>
          <w:bCs w:val="0"/>
          <w:sz w:val="32"/>
          <w:szCs w:val="32"/>
        </w:rPr>
        <w:t>（二）项目绩效目标</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年，市行政审批服务局紧紧围绕市委、市政府的工作部署，</w:t>
      </w:r>
      <w:r>
        <w:rPr>
          <w:rFonts w:hint="eastAsia" w:ascii="仿宋_GB2312" w:hAnsi="仿宋_GB2312" w:eastAsia="仿宋_GB2312" w:cs="仿宋_GB2312"/>
          <w:kern w:val="2"/>
          <w:sz w:val="32"/>
          <w:szCs w:val="32"/>
        </w:rPr>
        <w:t>以</w:t>
      </w:r>
      <w:r>
        <w:rPr>
          <w:rFonts w:hint="eastAsia" w:ascii="仿宋_GB2312" w:hAnsi="仿宋_GB2312" w:eastAsia="仿宋_GB2312" w:cs="仿宋_GB2312"/>
          <w:kern w:val="2"/>
          <w:sz w:val="32"/>
          <w:szCs w:val="32"/>
          <w:lang w:val="en-US" w:eastAsia="zh-CN"/>
        </w:rPr>
        <w:t>纵深推进</w:t>
      </w:r>
      <w:r>
        <w:rPr>
          <w:rFonts w:hint="eastAsia" w:ascii="仿宋_GB2312" w:hAnsi="仿宋_GB2312" w:eastAsia="仿宋_GB2312" w:cs="仿宋_GB2312"/>
          <w:kern w:val="2"/>
          <w:sz w:val="32"/>
          <w:szCs w:val="32"/>
        </w:rPr>
        <w:t>“一件事一次办”改革为总抓手，持续</w:t>
      </w:r>
      <w:r>
        <w:rPr>
          <w:rFonts w:hint="eastAsia" w:ascii="仿宋_GB2312" w:hAnsi="仿宋_GB2312" w:eastAsia="仿宋_GB2312" w:cs="仿宋_GB2312"/>
          <w:kern w:val="2"/>
          <w:sz w:val="32"/>
          <w:szCs w:val="32"/>
          <w:lang w:val="en-US" w:eastAsia="zh-CN"/>
        </w:rPr>
        <w:t>深化“放管服”重点领域改革</w:t>
      </w:r>
      <w:r>
        <w:rPr>
          <w:rFonts w:hint="eastAsia" w:ascii="仿宋_GB2312" w:hAnsi="仿宋_GB2312" w:eastAsia="仿宋_GB2312" w:cs="仿宋_GB2312"/>
          <w:kern w:val="2"/>
          <w:sz w:val="32"/>
          <w:szCs w:val="32"/>
        </w:rPr>
        <w:t>，进一步</w:t>
      </w:r>
      <w:r>
        <w:rPr>
          <w:rFonts w:hint="eastAsia" w:ascii="仿宋_GB2312" w:hAnsi="仿宋_GB2312" w:eastAsia="仿宋_GB2312" w:cs="仿宋_GB2312"/>
          <w:kern w:val="2"/>
          <w:sz w:val="32"/>
          <w:szCs w:val="32"/>
          <w:lang w:val="en-US" w:eastAsia="zh-CN"/>
        </w:rPr>
        <w:t>提升网上政务服务能力，</w:t>
      </w:r>
      <w:r>
        <w:rPr>
          <w:rFonts w:hint="eastAsia" w:ascii="仿宋_GB2312" w:hAnsi="仿宋_GB2312" w:eastAsia="仿宋_GB2312" w:cs="仿宋_GB2312"/>
          <w:kern w:val="2"/>
          <w:sz w:val="32"/>
          <w:szCs w:val="32"/>
        </w:rPr>
        <w:t>优</w:t>
      </w:r>
      <w:r>
        <w:rPr>
          <w:rFonts w:hint="eastAsia" w:ascii="仿宋_GB2312" w:hAnsi="仿宋_GB2312" w:eastAsia="仿宋_GB2312" w:cs="仿宋_GB2312"/>
          <w:sz w:val="32"/>
          <w:szCs w:val="32"/>
        </w:rPr>
        <w:t>化营商政务环境，全力推进政府治理体系和治理能力现代化建设，为实现</w:t>
      </w:r>
      <w:r>
        <w:rPr>
          <w:rFonts w:hint="eastAsia" w:ascii="仿宋_GB2312" w:hAnsi="仿宋_GB2312" w:eastAsia="仿宋_GB2312" w:cs="仿宋_GB2312"/>
          <w:sz w:val="32"/>
          <w:szCs w:val="32"/>
          <w:lang w:val="en-US" w:eastAsia="zh-CN"/>
        </w:rPr>
        <w:t>洞庭湖区核心城市</w:t>
      </w:r>
      <w:r>
        <w:rPr>
          <w:rFonts w:hint="eastAsia" w:ascii="仿宋_GB2312" w:hAnsi="仿宋_GB2312" w:eastAsia="仿宋_GB2312" w:cs="仿宋_GB2312"/>
          <w:kern w:val="2"/>
          <w:sz w:val="32"/>
          <w:szCs w:val="32"/>
        </w:rPr>
        <w:t>作出新的更大贡献。</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ascii="Times New Roman" w:hAnsi="Times New Roman" w:eastAsia="宋体" w:cs="Times New Roman"/>
          <w:sz w:val="21"/>
          <w:szCs w:val="21"/>
        </w:rPr>
      </w:pPr>
      <w:r>
        <w:rPr>
          <w:rFonts w:hint="eastAsia" w:ascii="黑体" w:hAnsi="黑体" w:eastAsia="黑体" w:cs="Times New Roman"/>
          <w:sz w:val="32"/>
          <w:szCs w:val="32"/>
        </w:rPr>
        <w:t>　　二、绩效评价指标分析情况</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ascii="Times New Roman" w:hAnsi="Times New Roman" w:eastAsia="宋体" w:cs="Times New Roman"/>
          <w:sz w:val="21"/>
          <w:szCs w:val="21"/>
        </w:rPr>
      </w:pPr>
      <w:r>
        <w:rPr>
          <w:rFonts w:hint="eastAsia" w:ascii="楷体" w:hAnsi="楷体" w:eastAsia="楷体" w:cs="Times New Roman"/>
          <w:b/>
          <w:bCs/>
          <w:sz w:val="32"/>
          <w:szCs w:val="32"/>
        </w:rPr>
        <w:t>　（一）项目资金情况分析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1.项目资金到位情况分析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年，市财政拨付市行政审批服务局</w:t>
      </w:r>
      <w:r>
        <w:rPr>
          <w:rFonts w:hint="eastAsia" w:ascii="仿宋_GB2312" w:hAnsi="仿宋_GB2312" w:eastAsia="仿宋_GB2312" w:cs="仿宋_GB2312"/>
          <w:sz w:val="32"/>
          <w:szCs w:val="32"/>
          <w:lang w:val="en-US" w:eastAsia="zh-CN"/>
        </w:rPr>
        <w:t>劳务派遣人员工资、社区接入电子政务外网电路租赁、大厅营运维护费用、物业管理费、窗口工作人员补贴、业务培训费、电费及水费、水电及安防费用</w:t>
      </w:r>
      <w:r>
        <w:rPr>
          <w:rFonts w:hint="eastAsia" w:ascii="仿宋_GB2312" w:hAnsi="仿宋_GB2312" w:eastAsia="仿宋_GB2312" w:cs="仿宋_GB2312"/>
          <w:sz w:val="32"/>
          <w:szCs w:val="32"/>
        </w:rPr>
        <w:t>专项经费</w:t>
      </w:r>
      <w:r>
        <w:rPr>
          <w:rFonts w:hint="eastAsia" w:ascii="仿宋_GB2312" w:hAnsi="仿宋_GB2312" w:eastAsia="仿宋_GB2312" w:cs="仿宋_GB2312"/>
          <w:sz w:val="32"/>
          <w:szCs w:val="32"/>
          <w:lang w:val="en-US" w:eastAsia="zh-CN"/>
        </w:rPr>
        <w:t>654.48</w:t>
      </w:r>
      <w:r>
        <w:rPr>
          <w:rFonts w:hint="eastAsia" w:ascii="仿宋_GB2312" w:hAnsi="仿宋_GB2312" w:eastAsia="仿宋_GB2312" w:cs="仿宋_GB2312"/>
          <w:sz w:val="32"/>
          <w:szCs w:val="32"/>
        </w:rPr>
        <w:t>万元。</w:t>
      </w:r>
    </w:p>
    <w:tbl>
      <w:tblPr>
        <w:tblStyle w:val="4"/>
        <w:tblW w:w="7956" w:type="dxa"/>
        <w:tblInd w:w="93" w:type="dxa"/>
        <w:shd w:val="clear" w:color="auto" w:fill="auto"/>
        <w:tblLayout w:type="fixed"/>
        <w:tblCellMar>
          <w:top w:w="0" w:type="dxa"/>
          <w:left w:w="108" w:type="dxa"/>
          <w:bottom w:w="0" w:type="dxa"/>
          <w:right w:w="108" w:type="dxa"/>
        </w:tblCellMar>
      </w:tblPr>
      <w:tblGrid>
        <w:gridCol w:w="2016"/>
        <w:gridCol w:w="2865"/>
        <w:gridCol w:w="1164"/>
        <w:gridCol w:w="1911"/>
      </w:tblGrid>
      <w:tr>
        <w:tblPrEx>
          <w:shd w:val="clear" w:color="auto" w:fill="auto"/>
          <w:tblCellMar>
            <w:top w:w="0" w:type="dxa"/>
            <w:left w:w="108" w:type="dxa"/>
            <w:bottom w:w="0" w:type="dxa"/>
            <w:right w:w="108" w:type="dxa"/>
          </w:tblCellMar>
        </w:tblPrEx>
        <w:trPr>
          <w:trHeight w:val="270" w:hRule="atLeast"/>
        </w:trPr>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86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功能科目名称</w:t>
            </w:r>
          </w:p>
        </w:tc>
        <w:tc>
          <w:tcPr>
            <w:tcW w:w="116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19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w:t>
            </w:r>
          </w:p>
        </w:tc>
      </w:tr>
      <w:tr>
        <w:tblPrEx>
          <w:shd w:val="clear" w:color="auto" w:fill="auto"/>
          <w:tblCellMar>
            <w:top w:w="0" w:type="dxa"/>
            <w:left w:w="108" w:type="dxa"/>
            <w:bottom w:w="0" w:type="dxa"/>
            <w:right w:w="108" w:type="dxa"/>
          </w:tblCellMar>
        </w:tblPrEx>
        <w:trPr>
          <w:trHeight w:val="312"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一、经费拨款</w:t>
            </w:r>
          </w:p>
        </w:tc>
      </w:tr>
      <w:tr>
        <w:tblPrEx>
          <w:shd w:val="clear" w:color="auto" w:fill="auto"/>
          <w:tblCellMar>
            <w:top w:w="0" w:type="dxa"/>
            <w:left w:w="108" w:type="dxa"/>
            <w:bottom w:w="0" w:type="dxa"/>
            <w:right w:w="108" w:type="dxa"/>
          </w:tblCellMar>
        </w:tblPrEx>
        <w:trPr>
          <w:trHeight w:val="312" w:hRule="atLeast"/>
        </w:trPr>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70"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6544.8</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6544.8</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新增劳务派遣人员工资</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新增大厅营运维护费用</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窗口工作人员补贴</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业务培训费</w:t>
            </w:r>
          </w:p>
        </w:tc>
        <w:tc>
          <w:tcPr>
            <w:tcW w:w="286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91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电费及水费</w:t>
            </w:r>
          </w:p>
        </w:tc>
        <w:tc>
          <w:tcPr>
            <w:tcW w:w="2865" w:type="dxa"/>
            <w:tcBorders>
              <w:top w:val="single" w:color="000000" w:sz="4" w:space="0"/>
              <w:left w:val="single" w:color="000000"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1911"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r>
      <w:tr>
        <w:tblPrEx>
          <w:shd w:val="clear" w:color="auto" w:fill="auto"/>
          <w:tblCellMar>
            <w:top w:w="0" w:type="dxa"/>
            <w:left w:w="108" w:type="dxa"/>
            <w:bottom w:w="0" w:type="dxa"/>
            <w:right w:w="108" w:type="dxa"/>
          </w:tblCellMar>
        </w:tblPrEx>
        <w:trPr>
          <w:trHeight w:val="450"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数据共享交换平台运维</w:t>
            </w:r>
          </w:p>
        </w:tc>
        <w:tc>
          <w:tcPr>
            <w:tcW w:w="2865" w:type="dxa"/>
            <w:tcBorders>
              <w:top w:val="single" w:color="auto" w:sz="4" w:space="0"/>
              <w:left w:val="single" w:color="auto"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11"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政务一体化平台后期运维</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社区接入电子政务外网电路租赁</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129.80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129.80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水电及安防费用</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专项业务及机关事物管理</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政府网站建设管理专线经费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230.00</w:t>
            </w:r>
          </w:p>
        </w:tc>
      </w:tr>
      <w:tr>
        <w:tblPrEx>
          <w:shd w:val="clear" w:color="auto" w:fill="auto"/>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网站建设专项经费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中心机房及网络维护费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电子政务外网平台一期工程设备维护费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103.00</w:t>
            </w:r>
          </w:p>
        </w:tc>
      </w:tr>
      <w:tr>
        <w:tblPrEx>
          <w:tblCellMar>
            <w:top w:w="0" w:type="dxa"/>
            <w:left w:w="108" w:type="dxa"/>
            <w:bottom w:w="0" w:type="dxa"/>
            <w:right w:w="108" w:type="dxa"/>
          </w:tblCellMar>
        </w:tblPrEx>
        <w:trPr>
          <w:trHeight w:val="67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电子政务外网链路及城域网光纤租费</w:t>
            </w:r>
          </w:p>
        </w:tc>
        <w:tc>
          <w:tcPr>
            <w:tcW w:w="2865" w:type="dxa"/>
            <w:tcBorders>
              <w:top w:val="single" w:color="000000" w:sz="4" w:space="0"/>
              <w:left w:val="single" w:color="auto"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578.00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578.00</w:t>
            </w:r>
          </w:p>
        </w:tc>
      </w:tr>
      <w:tr>
        <w:tblPrEx>
          <w:shd w:val="clear" w:color="auto" w:fill="auto"/>
          <w:tblCellMar>
            <w:top w:w="0" w:type="dxa"/>
            <w:left w:w="108" w:type="dxa"/>
            <w:bottom w:w="0" w:type="dxa"/>
            <w:right w:w="108" w:type="dxa"/>
          </w:tblCellMar>
        </w:tblPrEx>
        <w:trPr>
          <w:trHeight w:val="965" w:hRule="atLeast"/>
        </w:trPr>
        <w:tc>
          <w:tcPr>
            <w:tcW w:w="201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全市电子政务网络运行维护费</w:t>
            </w:r>
          </w:p>
        </w:tc>
        <w:tc>
          <w:tcPr>
            <w:tcW w:w="2865" w:type="dxa"/>
            <w:tcBorders>
              <w:top w:val="single" w:color="000000"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信息事务</w:t>
            </w:r>
          </w:p>
        </w:tc>
        <w:tc>
          <w:tcPr>
            <w:tcW w:w="1164" w:type="dxa"/>
            <w:tcBorders>
              <w:top w:val="single" w:color="000000" w:sz="4" w:space="0"/>
              <w:left w:val="single" w:color="000000"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150.00</w:t>
            </w:r>
          </w:p>
        </w:tc>
        <w:tc>
          <w:tcPr>
            <w:tcW w:w="19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150.00</w:t>
            </w:r>
          </w:p>
        </w:tc>
      </w:tr>
    </w:tbl>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单位：千元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2.项目资金管理情况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局机关财务制度健全，管理规范,账务处理及时，会计核算规范。专项资金严格按照国家规定的项目资金相关法律、法规的规定和要求使用，确保资金的专款专用，项目资金严格按照国家规定的项目资金管理有关法律法规的规定使用。</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（二）项目实施及管理情况</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在专项资金组织管理上，我们严格按照国家和省市规定的项目资金相关法律、法规的规定和要求使用，内部实现了专项资金统一归口管理，坚持专款专用，量入为出的原则，使专用资金按规定的用途使用并达到预期目的，严禁截留、挪用和不合理支出。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专项资金管理规范，促进项目顺利实施。</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（三）项目绩效情况分析</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年度专项支出绩效显著，取得了良好的社会效应和经济效应。具体表现在：</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政务服务大厅运行管理进一步精准性、实效性；</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政务服务环境持续优化;</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实现基层政务服务“一门式”时限全覆盖更有效</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一件事一次办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改革持续深化</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32"/>
          <w:szCs w:val="32"/>
        </w:rPr>
        <w:t>（四）项目后续工作计划</w:t>
      </w:r>
    </w:p>
    <w:p>
      <w:pPr>
        <w:keepNext w:val="0"/>
        <w:keepLines w:val="0"/>
        <w:pageBreakBefore w:val="0"/>
        <w:widowControl/>
        <w:kinsoku/>
        <w:wordWrap/>
        <w:overflowPunct/>
        <w:topLinePunct w:val="0"/>
        <w:autoSpaceDE/>
        <w:autoSpaceDN/>
        <w:bidi w:val="0"/>
        <w:adjustRightIn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1.推进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放管服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改革优化营商环境</w:t>
      </w:r>
      <w:r>
        <w:rPr>
          <w:rFonts w:hint="eastAsia" w:ascii="仿宋_GB2312" w:hAnsi="仿宋_GB2312" w:eastAsia="仿宋_GB2312" w:cs="仿宋_GB2312"/>
          <w:sz w:val="32"/>
          <w:szCs w:val="32"/>
        </w:rPr>
        <w:t>有序进行;</w:t>
      </w:r>
    </w:p>
    <w:p>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32"/>
          <w:szCs w:val="32"/>
        </w:rPr>
        <w:t>2.加强宣传培训,提高窗口工作人员服务群众能力</w:t>
      </w:r>
      <w:r>
        <w:rPr>
          <w:rFonts w:hint="eastAsia" w:ascii="仿宋_GB2312" w:hAnsi="仿宋_GB2312" w:eastAsia="仿宋_GB2312" w:cs="仿宋_GB2312"/>
          <w:spacing w:val="1"/>
          <w:sz w:val="32"/>
          <w:szCs w:val="32"/>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644"/>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32"/>
          <w:szCs w:val="32"/>
        </w:rPr>
        <w:t>3.</w:t>
      </w:r>
      <w:r>
        <w:rPr>
          <w:rFonts w:hint="eastAsia" w:ascii="仿宋_GB2312" w:hAnsi="仿宋_GB2312" w:eastAsia="仿宋_GB2312" w:cs="仿宋_GB2312"/>
          <w:spacing w:val="1"/>
          <w:sz w:val="32"/>
          <w:szCs w:val="32"/>
          <w:lang w:val="en-US" w:eastAsia="zh-CN"/>
        </w:rPr>
        <w:t>提升</w:t>
      </w:r>
      <w:r>
        <w:rPr>
          <w:rFonts w:hint="eastAsia" w:ascii="仿宋_GB2312" w:hAnsi="仿宋_GB2312" w:eastAsia="仿宋_GB2312" w:cs="仿宋_GB2312"/>
          <w:spacing w:val="1"/>
          <w:sz w:val="32"/>
          <w:szCs w:val="32"/>
        </w:rPr>
        <w:t>政务服务大厅</w:t>
      </w:r>
      <w:r>
        <w:rPr>
          <w:rFonts w:hint="eastAsia" w:ascii="仿宋_GB2312" w:hAnsi="仿宋_GB2312" w:eastAsia="仿宋_GB2312" w:cs="仿宋_GB2312"/>
          <w:spacing w:val="1"/>
          <w:sz w:val="32"/>
          <w:szCs w:val="32"/>
          <w:lang w:val="en-US" w:eastAsia="zh-CN"/>
        </w:rPr>
        <w:t>运行管理精准性和实效性</w:t>
      </w:r>
      <w:r>
        <w:rPr>
          <w:rFonts w:hint="eastAsia" w:ascii="仿宋_GB2312" w:hAnsi="仿宋_GB2312" w:eastAsia="仿宋_GB2312" w:cs="仿宋_GB2312"/>
          <w:spacing w:val="1"/>
          <w:sz w:val="32"/>
          <w:szCs w:val="32"/>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80"/>
        <w:jc w:val="both"/>
        <w:textAlignment w:val="auto"/>
        <w:rPr>
          <w:rFonts w:hint="eastAsia" w:ascii="黑体" w:hAnsi="黑体" w:eastAsia="黑体" w:cs="黑体"/>
          <w:sz w:val="21"/>
          <w:szCs w:val="21"/>
        </w:rPr>
      </w:pPr>
      <w:r>
        <w:rPr>
          <w:rFonts w:hint="eastAsia" w:ascii="黑体" w:hAnsi="黑体" w:eastAsia="黑体" w:cs="黑体"/>
          <w:sz w:val="32"/>
          <w:szCs w:val="32"/>
        </w:rPr>
        <w:t>三、综合评价情况及评价结论</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年我单位专项资金项目总体评价是：专项工作科学合理，管理规范，服务到位，整体完成较好，运行保障有力，取得良好的社会效益和经济效益。</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黑体" w:hAnsi="黑体" w:eastAsia="黑体" w:cs="黑体"/>
          <w:sz w:val="21"/>
          <w:szCs w:val="21"/>
        </w:rPr>
      </w:pPr>
      <w:r>
        <w:rPr>
          <w:rFonts w:hint="eastAsia" w:ascii="黑体" w:hAnsi="黑体" w:eastAsia="黑体" w:cs="黑体"/>
          <w:sz w:val="32"/>
          <w:szCs w:val="32"/>
        </w:rPr>
        <w:t>四、存在的问题和建议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1.存在的问题</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深化“放管服”改革工作任务重，牵涉单位多，部分单位工作推进不力，行动迟缓，成效不明显，未形成工作合力；智慧政务建设工作相对滞后</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2.意见建议</w:t>
      </w:r>
    </w:p>
    <w:p>
      <w:pPr>
        <w:keepNext w:val="0"/>
        <w:keepLines w:val="0"/>
        <w:pageBreakBefore w:val="0"/>
        <w:widowControl/>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32"/>
          <w:szCs w:val="32"/>
        </w:rPr>
        <w:t>政改协调办加大协调督促力度，</w:t>
      </w:r>
      <w:r>
        <w:rPr>
          <w:rFonts w:hint="eastAsia" w:ascii="仿宋_GB2312" w:eastAsia="仿宋_GB2312" w:cs="方正小标宋简体"/>
          <w:color w:val="000000"/>
          <w:kern w:val="36"/>
          <w:sz w:val="32"/>
          <w:szCs w:val="32"/>
        </w:rPr>
        <w:t>推动改革举措落实落细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奋力攻坚，重点围绕</w:t>
      </w:r>
      <w:r>
        <w:rPr>
          <w:rFonts w:hint="eastAsia" w:ascii="仿宋_GB2312" w:eastAsia="仿宋_GB2312"/>
          <w:sz w:val="32"/>
          <w:szCs w:val="32"/>
        </w:rPr>
        <w:t>“</w:t>
      </w:r>
      <w:r>
        <w:rPr>
          <w:rFonts w:hint="eastAsia" w:ascii="仿宋_GB2312" w:hAnsi="仿宋_GB2312" w:eastAsia="仿宋_GB2312" w:cs="仿宋_GB2312"/>
          <w:sz w:val="32"/>
          <w:szCs w:val="32"/>
        </w:rPr>
        <w:t>我要申请公共租赁住房</w:t>
      </w:r>
      <w:r>
        <w:rPr>
          <w:rFonts w:hint="eastAsia" w:ascii="仿宋_GB2312" w:eastAsia="仿宋_GB2312"/>
          <w:sz w:val="32"/>
          <w:szCs w:val="32"/>
        </w:rPr>
        <w:t>”</w:t>
      </w:r>
      <w:r>
        <w:rPr>
          <w:rFonts w:hint="eastAsia" w:ascii="仿宋_GB2312" w:hAnsi="仿宋_GB2312" w:eastAsia="仿宋_GB2312" w:cs="仿宋_GB2312"/>
          <w:sz w:val="32"/>
          <w:szCs w:val="32"/>
        </w:rPr>
        <w:t>一件事、“跨省通办”等重点打造特色亮点</w:t>
      </w:r>
      <w:r>
        <w:rPr>
          <w:rFonts w:hint="eastAsia" w:ascii="仿宋_GB2312" w:hAnsi="仿宋_GB2312" w:eastAsia="仿宋_GB2312" w:cs="仿宋_GB2312"/>
          <w:sz w:val="32"/>
          <w:szCs w:val="32"/>
          <w:lang w:eastAsia="zh-CN"/>
        </w:rPr>
        <w:t>。</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8FA"/>
    <w:rsid w:val="00323B43"/>
    <w:rsid w:val="003D37D8"/>
    <w:rsid w:val="00426133"/>
    <w:rsid w:val="004358AB"/>
    <w:rsid w:val="008B7726"/>
    <w:rsid w:val="009655D4"/>
    <w:rsid w:val="00A73C2A"/>
    <w:rsid w:val="00D31D50"/>
    <w:rsid w:val="27CB5FC7"/>
    <w:rsid w:val="28481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仿宋_GB2312"/>
    </w:r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220</Words>
  <Characters>1258</Characters>
  <Lines>10</Lines>
  <Paragraphs>2</Paragraphs>
  <TotalTime>0</TotalTime>
  <ScaleCrop>false</ScaleCrop>
  <LinksUpToDate>false</LinksUpToDate>
  <CharactersWithSpaces>1476</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admin</cp:lastModifiedBy>
  <cp:lastPrinted>2021-09-30T00:46:00Z</cp:lastPrinted>
  <dcterms:modified xsi:type="dcterms:W3CDTF">2022-08-29T02:16:45Z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B7D778A2EA554E1EB04F99E95D2EDF11</vt:lpwstr>
  </property>
</Properties>
</file>