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906" w:rsidRDefault="007D4208">
      <w:pPr>
        <w:adjustRightInd/>
        <w:snapToGrid/>
        <w:spacing w:after="0" w:line="660" w:lineRule="exact"/>
        <w:jc w:val="center"/>
        <w:rPr>
          <w:rFonts w:ascii="Helvetica" w:eastAsia="宋体" w:hAnsi="Helvetica" w:cs="Helvetica"/>
          <w:b/>
          <w:bCs/>
          <w:sz w:val="45"/>
          <w:szCs w:val="45"/>
        </w:rPr>
      </w:pPr>
      <w:r>
        <w:rPr>
          <w:rFonts w:ascii="方正小标宋简体" w:eastAsia="方正小标宋简体" w:hAnsi="方正小标宋简体" w:cs="方正小标宋简体" w:hint="eastAsia"/>
          <w:sz w:val="44"/>
          <w:szCs w:val="44"/>
        </w:rPr>
        <w:t>沅江市行政审批服务局</w:t>
      </w:r>
      <w:r>
        <w:rPr>
          <w:rFonts w:ascii="方正小标宋简体" w:eastAsia="方正小标宋简体" w:hAnsi="方正小标宋简体" w:cs="方正小标宋简体" w:hint="eastAsia"/>
          <w:sz w:val="44"/>
          <w:szCs w:val="44"/>
        </w:rPr>
        <w:t>20</w:t>
      </w:r>
      <w:r>
        <w:rPr>
          <w:rFonts w:ascii="方正小标宋简体" w:eastAsia="方正小标宋简体" w:hAnsi="方正小标宋简体" w:cs="方正小标宋简体" w:hint="eastAsia"/>
          <w:sz w:val="44"/>
          <w:szCs w:val="44"/>
        </w:rPr>
        <w:t>20</w:t>
      </w:r>
      <w:r>
        <w:rPr>
          <w:rFonts w:ascii="方正小标宋简体" w:eastAsia="方正小标宋简体" w:hAnsi="方正小标宋简体" w:cs="方正小标宋简体" w:hint="eastAsia"/>
          <w:sz w:val="44"/>
          <w:szCs w:val="44"/>
        </w:rPr>
        <w:t>年度专项支出绩效评价报告</w:t>
      </w:r>
      <w:r>
        <w:rPr>
          <w:rFonts w:ascii="方正小标宋简体" w:eastAsia="方正小标宋简体" w:hAnsi="方正小标宋简体" w:cs="方正小标宋简体" w:hint="eastAsia"/>
          <w:sz w:val="44"/>
          <w:szCs w:val="44"/>
          <w:shd w:val="clear" w:color="auto" w:fill="FFFFFF"/>
        </w:rPr>
        <w:t xml:space="preserve">　</w:t>
      </w:r>
      <w:r>
        <w:rPr>
          <w:rFonts w:ascii="黑体" w:eastAsia="黑体" w:hAnsi="黑体" w:cs="Times New Roman" w:hint="eastAsia"/>
          <w:sz w:val="32"/>
          <w:szCs w:val="32"/>
          <w:shd w:val="clear" w:color="auto" w:fill="FFFFFF"/>
        </w:rPr>
        <w:t xml:space="preserve">　</w:t>
      </w:r>
    </w:p>
    <w:p w:rsidR="005E1906" w:rsidRDefault="007D4208">
      <w:pPr>
        <w:adjustRightInd/>
        <w:snapToGrid/>
        <w:spacing w:after="0" w:line="560" w:lineRule="exact"/>
        <w:ind w:firstLine="640"/>
        <w:jc w:val="both"/>
        <w:rPr>
          <w:rFonts w:ascii="仿宋_GB2312" w:eastAsia="仿宋_GB2312" w:hAnsi="仿宋_GB2312" w:cs="仿宋_GB2312"/>
          <w:sz w:val="21"/>
          <w:szCs w:val="21"/>
        </w:rPr>
      </w:pPr>
      <w:r>
        <w:rPr>
          <w:rFonts w:ascii="仿宋_GB2312" w:eastAsia="仿宋_GB2312" w:hAnsi="仿宋_GB2312" w:cs="仿宋_GB2312" w:hint="eastAsia"/>
          <w:sz w:val="32"/>
          <w:szCs w:val="32"/>
        </w:rPr>
        <w:t>根据《湖南省人民政府关于全面推进预算绩效管理的意见》，我局对</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年度专项资金绩效评价如下：</w:t>
      </w:r>
    </w:p>
    <w:p w:rsidR="005E1906" w:rsidRDefault="007D4208">
      <w:pPr>
        <w:adjustRightInd/>
        <w:snapToGrid/>
        <w:spacing w:after="0" w:line="560" w:lineRule="exact"/>
        <w:ind w:firstLineChars="200" w:firstLine="640"/>
        <w:jc w:val="both"/>
        <w:rPr>
          <w:rFonts w:ascii="Times New Roman" w:eastAsia="宋体" w:hAnsi="Times New Roman" w:cs="Times New Roman"/>
          <w:sz w:val="21"/>
          <w:szCs w:val="21"/>
        </w:rPr>
      </w:pPr>
      <w:r>
        <w:rPr>
          <w:rFonts w:ascii="黑体" w:eastAsia="黑体" w:hAnsi="黑体" w:cs="Times New Roman" w:hint="eastAsia"/>
          <w:sz w:val="32"/>
          <w:szCs w:val="32"/>
        </w:rPr>
        <w:t>一、项目基本情况</w:t>
      </w:r>
    </w:p>
    <w:p w:rsidR="005E1906" w:rsidRDefault="007D4208">
      <w:pPr>
        <w:adjustRightInd/>
        <w:snapToGrid/>
        <w:spacing w:after="0" w:line="560" w:lineRule="exact"/>
        <w:ind w:firstLine="480"/>
        <w:jc w:val="both"/>
        <w:rPr>
          <w:rFonts w:ascii="华文楷体" w:eastAsia="华文楷体" w:hAnsi="华文楷体" w:cs="华文楷体"/>
          <w:sz w:val="21"/>
          <w:szCs w:val="21"/>
        </w:rPr>
      </w:pPr>
      <w:r>
        <w:rPr>
          <w:rFonts w:ascii="华文楷体" w:eastAsia="华文楷体" w:hAnsi="华文楷体" w:cs="华文楷体" w:hint="eastAsia"/>
          <w:sz w:val="32"/>
          <w:szCs w:val="32"/>
        </w:rPr>
        <w:t xml:space="preserve">　</w:t>
      </w:r>
      <w:r>
        <w:rPr>
          <w:rFonts w:ascii="华文楷体" w:eastAsia="华文楷体" w:hAnsi="华文楷体" w:cs="华文楷体" w:hint="eastAsia"/>
          <w:sz w:val="32"/>
          <w:szCs w:val="32"/>
        </w:rPr>
        <w:t>(</w:t>
      </w:r>
      <w:r>
        <w:rPr>
          <w:rFonts w:ascii="华文楷体" w:eastAsia="华文楷体" w:hAnsi="华文楷体" w:cs="华文楷体" w:hint="eastAsia"/>
          <w:sz w:val="32"/>
          <w:szCs w:val="32"/>
        </w:rPr>
        <w:t>一</w:t>
      </w:r>
      <w:r>
        <w:rPr>
          <w:rFonts w:ascii="华文楷体" w:eastAsia="华文楷体" w:hAnsi="华文楷体" w:cs="华文楷体" w:hint="eastAsia"/>
          <w:sz w:val="32"/>
          <w:szCs w:val="32"/>
        </w:rPr>
        <w:t>)</w:t>
      </w:r>
      <w:r>
        <w:rPr>
          <w:rFonts w:ascii="华文楷体" w:eastAsia="华文楷体" w:hAnsi="华文楷体" w:cs="华文楷体" w:hint="eastAsia"/>
          <w:sz w:val="32"/>
          <w:szCs w:val="32"/>
        </w:rPr>
        <w:t>项目概况</w:t>
      </w:r>
    </w:p>
    <w:p w:rsidR="005E1906" w:rsidRDefault="007D4208">
      <w:pPr>
        <w:adjustRightInd/>
        <w:snapToGrid/>
        <w:spacing w:after="0" w:line="560" w:lineRule="exact"/>
        <w:ind w:firstLineChars="200" w:firstLine="640"/>
        <w:jc w:val="both"/>
        <w:rPr>
          <w:rFonts w:ascii="仿宋_GB2312" w:eastAsia="仿宋_GB2312" w:hAnsi="仿宋_GB2312" w:cs="仿宋_GB2312"/>
          <w:sz w:val="21"/>
          <w:szCs w:val="21"/>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单位机构设置及人员情况</w:t>
      </w:r>
    </w:p>
    <w:p w:rsidR="005E1906" w:rsidRDefault="007D4208">
      <w:pPr>
        <w:adjustRightInd/>
        <w:spacing w:after="0" w:line="560" w:lineRule="exact"/>
        <w:ind w:firstLine="640"/>
        <w:rPr>
          <w:rFonts w:ascii="仿宋_GB2312" w:eastAsia="仿宋_GB2312" w:hAnsi="仿宋_GB2312" w:cs="仿宋_GB2312"/>
          <w:sz w:val="21"/>
          <w:szCs w:val="21"/>
        </w:rPr>
      </w:pPr>
      <w:r>
        <w:rPr>
          <w:rFonts w:ascii="仿宋_GB2312" w:eastAsia="仿宋_GB2312" w:hAnsi="仿宋_GB2312" w:cs="仿宋_GB2312" w:hint="eastAsia"/>
          <w:sz w:val="32"/>
          <w:szCs w:val="32"/>
        </w:rPr>
        <w:t>沅江市行政审批服务局成立于</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根据编委核定，我局内设综合股、窗口管理股、行政审批改革股、政务服务管理股、电子政务与数据资源管理股等５个股室，所属正股级事业单位１个（沅江市政务服务中心），所属副科级独立二级机构１个（沅江市政务信息中心），全部纳入</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年部门预算编制范围。</w:t>
      </w:r>
      <w:r>
        <w:rPr>
          <w:rFonts w:ascii="仿宋_GB2312" w:eastAsia="仿宋_GB2312" w:hAnsi="仿宋_GB2312" w:cs="仿宋_GB2312" w:hint="eastAsia"/>
          <w:sz w:val="32"/>
          <w:szCs w:val="32"/>
          <w:shd w:val="clear" w:color="auto" w:fill="FFFFFF"/>
        </w:rPr>
        <w:t>纳入部门预算编制</w:t>
      </w:r>
      <w:r>
        <w:rPr>
          <w:rFonts w:ascii="仿宋_GB2312" w:eastAsia="仿宋_GB2312" w:hAnsi="仿宋_GB2312" w:cs="仿宋_GB2312" w:hint="eastAsia"/>
          <w:sz w:val="32"/>
          <w:szCs w:val="32"/>
          <w:shd w:val="clear" w:color="auto" w:fill="FFFFFF"/>
        </w:rPr>
        <w:t>18</w:t>
      </w:r>
      <w:r>
        <w:rPr>
          <w:rFonts w:ascii="仿宋_GB2312" w:eastAsia="仿宋_GB2312" w:hAnsi="仿宋_GB2312" w:cs="仿宋_GB2312" w:hint="eastAsia"/>
          <w:sz w:val="32"/>
          <w:szCs w:val="32"/>
          <w:shd w:val="clear" w:color="auto" w:fill="FFFFFF"/>
        </w:rPr>
        <w:t>人（不含所属副科级二级机构）。其中：实有在职人员</w:t>
      </w:r>
      <w:r>
        <w:rPr>
          <w:rFonts w:ascii="仿宋_GB2312" w:eastAsia="仿宋_GB2312" w:hAnsi="仿宋_GB2312" w:cs="仿宋_GB2312" w:hint="eastAsia"/>
          <w:sz w:val="32"/>
          <w:szCs w:val="32"/>
          <w:shd w:val="clear" w:color="auto" w:fill="FFFFFF"/>
        </w:rPr>
        <w:t>13</w:t>
      </w:r>
      <w:r>
        <w:rPr>
          <w:rFonts w:ascii="仿宋_GB2312" w:eastAsia="仿宋_GB2312" w:hAnsi="仿宋_GB2312" w:cs="仿宋_GB2312" w:hint="eastAsia"/>
          <w:sz w:val="32"/>
          <w:szCs w:val="32"/>
          <w:shd w:val="clear" w:color="auto" w:fill="FFFFFF"/>
        </w:rPr>
        <w:t>人，离退休人员０人，遗属０人。</w:t>
      </w:r>
      <w:r>
        <w:rPr>
          <w:rFonts w:ascii="仿宋_GB2312" w:eastAsia="仿宋_GB2312" w:hAnsi="仿宋_GB2312" w:cs="仿宋_GB2312" w:hint="eastAsia"/>
          <w:sz w:val="32"/>
          <w:szCs w:val="32"/>
        </w:rPr>
        <w:t xml:space="preserve"> </w:t>
      </w:r>
    </w:p>
    <w:p w:rsidR="005E1906" w:rsidRDefault="007D4208">
      <w:pPr>
        <w:adjustRightInd/>
        <w:snapToGrid/>
        <w:spacing w:after="0" w:line="560" w:lineRule="exact"/>
        <w:ind w:firstLineChars="200" w:firstLine="640"/>
        <w:jc w:val="both"/>
        <w:rPr>
          <w:rFonts w:ascii="仿宋_GB2312" w:eastAsia="仿宋_GB2312" w:hAnsi="仿宋_GB2312" w:cs="仿宋_GB2312"/>
          <w:sz w:val="21"/>
          <w:szCs w:val="21"/>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单位主要工作职能</w:t>
      </w:r>
    </w:p>
    <w:p w:rsidR="005E1906" w:rsidRDefault="007D4208">
      <w:pPr>
        <w:shd w:val="clear" w:color="auto" w:fill="FFFFFF"/>
        <w:adjustRightInd/>
        <w:spacing w:after="0" w:line="560" w:lineRule="exact"/>
        <w:ind w:firstLine="640"/>
        <w:rPr>
          <w:rFonts w:ascii="仿宋_GB2312" w:eastAsia="仿宋_GB2312" w:hAnsi="仿宋_GB2312" w:cs="仿宋_GB2312"/>
          <w:sz w:val="21"/>
          <w:szCs w:val="21"/>
        </w:rPr>
      </w:pPr>
      <w:r>
        <w:rPr>
          <w:rFonts w:ascii="仿宋_GB2312" w:eastAsia="仿宋_GB2312" w:hAnsi="仿宋_GB2312" w:cs="仿宋_GB2312" w:hint="eastAsia"/>
          <w:sz w:val="32"/>
          <w:szCs w:val="32"/>
        </w:rPr>
        <w:t>贯彻落实党中央关于行政审批制度改革、政务管理服务、智慧城市建设、数据资源管理工作的方针政策和决策部署，全面落实市委、市政府关于行政审批制度改革、政务管理服务、智慧城市建设、数据资源管理工作的部署要求，在履行职责过程中坚持和加强党对行政审批改革、政务管理服务、智慧城市建设、数据资源管理工作的集中统一领导。</w:t>
      </w:r>
    </w:p>
    <w:p w:rsidR="005E1906" w:rsidRDefault="007D4208">
      <w:pPr>
        <w:adjustRightInd/>
        <w:snapToGrid/>
        <w:spacing w:after="0" w:line="560" w:lineRule="exact"/>
        <w:ind w:firstLine="480"/>
        <w:jc w:val="both"/>
        <w:rPr>
          <w:rFonts w:ascii="Times New Roman" w:eastAsia="宋体" w:hAnsi="Times New Roman" w:cs="Times New Roman"/>
          <w:sz w:val="21"/>
          <w:szCs w:val="21"/>
        </w:rPr>
      </w:pPr>
      <w:r>
        <w:rPr>
          <w:rFonts w:ascii="黑体" w:eastAsia="黑体" w:hAnsi="黑体" w:cs="Times New Roman" w:hint="eastAsia"/>
          <w:sz w:val="32"/>
          <w:szCs w:val="32"/>
        </w:rPr>
        <w:t xml:space="preserve">　</w:t>
      </w:r>
      <w:r>
        <w:rPr>
          <w:rFonts w:ascii="华文楷体" w:eastAsia="华文楷体" w:hAnsi="华文楷体" w:cs="华文楷体" w:hint="eastAsia"/>
          <w:sz w:val="32"/>
          <w:szCs w:val="32"/>
        </w:rPr>
        <w:t>（二）项目绩效目标</w:t>
      </w:r>
    </w:p>
    <w:p w:rsidR="005E1906" w:rsidRDefault="007D4208">
      <w:pPr>
        <w:adjustRightInd/>
        <w:spacing w:after="0" w:line="560" w:lineRule="exact"/>
        <w:ind w:firstLine="640"/>
        <w:jc w:val="both"/>
        <w:rPr>
          <w:rFonts w:ascii="仿宋_GB2312" w:eastAsia="仿宋_GB2312" w:hAnsi="仿宋_GB2312" w:cs="仿宋_GB2312"/>
          <w:kern w:val="2"/>
          <w:sz w:val="32"/>
          <w:szCs w:val="32"/>
        </w:rPr>
      </w:pPr>
      <w:r>
        <w:rPr>
          <w:rFonts w:ascii="仿宋_GB2312" w:eastAsia="仿宋_GB2312" w:hAnsi="仿宋_GB2312" w:cs="仿宋_GB2312" w:hint="eastAsia"/>
          <w:sz w:val="32"/>
          <w:szCs w:val="32"/>
        </w:rPr>
        <w:lastRenderedPageBreak/>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年，市行政审批服务局紧紧围绕市委、市政府的工作部署，</w:t>
      </w:r>
      <w:r>
        <w:rPr>
          <w:rFonts w:ascii="仿宋_GB2312" w:eastAsia="仿宋_GB2312" w:hAnsi="仿宋_GB2312" w:cs="仿宋_GB2312" w:hint="eastAsia"/>
          <w:kern w:val="2"/>
          <w:sz w:val="32"/>
          <w:szCs w:val="32"/>
        </w:rPr>
        <w:t>以“一件事一次办”改革为总抓手，持续打造行政审批服务改革升级版，进一步优</w:t>
      </w:r>
      <w:r>
        <w:rPr>
          <w:rFonts w:ascii="仿宋_GB2312" w:eastAsia="仿宋_GB2312" w:hAnsi="仿宋_GB2312" w:cs="仿宋_GB2312" w:hint="eastAsia"/>
          <w:sz w:val="32"/>
          <w:szCs w:val="32"/>
        </w:rPr>
        <w:t>化营商政务环境，全力推进政府治理体系和治理能力现代化建设，为实现我市</w:t>
      </w:r>
      <w:r>
        <w:rPr>
          <w:rFonts w:ascii="仿宋_GB2312" w:eastAsia="仿宋_GB2312" w:hAnsi="仿宋_GB2312" w:cs="仿宋_GB2312" w:hint="eastAsia"/>
          <w:kern w:val="2"/>
          <w:sz w:val="32"/>
          <w:szCs w:val="32"/>
        </w:rPr>
        <w:t>全面建成小康社会、“十三五”规划圆满收官和</w:t>
      </w:r>
      <w:r>
        <w:rPr>
          <w:rFonts w:ascii="仿宋_GB2312" w:eastAsia="仿宋_GB2312" w:hAnsi="仿宋_GB2312" w:cs="仿宋_GB2312" w:hint="eastAsia"/>
          <w:kern w:val="2"/>
          <w:sz w:val="32"/>
          <w:szCs w:val="32"/>
        </w:rPr>
        <w:t>推动沅江“二次创业”、高质量发展</w:t>
      </w:r>
      <w:r>
        <w:rPr>
          <w:rFonts w:ascii="仿宋_GB2312" w:eastAsia="仿宋_GB2312" w:hAnsi="仿宋_GB2312" w:cs="仿宋_GB2312" w:hint="eastAsia"/>
          <w:kern w:val="2"/>
          <w:sz w:val="32"/>
          <w:szCs w:val="32"/>
        </w:rPr>
        <w:t>作出新的更大贡献。</w:t>
      </w:r>
    </w:p>
    <w:p w:rsidR="005E1906" w:rsidRDefault="007D4208">
      <w:pPr>
        <w:adjustRightInd/>
        <w:snapToGrid/>
        <w:spacing w:after="0" w:line="560" w:lineRule="exact"/>
        <w:ind w:firstLine="480"/>
        <w:jc w:val="both"/>
        <w:rPr>
          <w:rFonts w:ascii="Times New Roman" w:eastAsia="宋体" w:hAnsi="Times New Roman" w:cs="Times New Roman"/>
          <w:sz w:val="21"/>
          <w:szCs w:val="21"/>
        </w:rPr>
      </w:pPr>
      <w:r>
        <w:rPr>
          <w:rFonts w:ascii="黑体" w:eastAsia="黑体" w:hAnsi="黑体" w:cs="Times New Roman" w:hint="eastAsia"/>
          <w:sz w:val="32"/>
          <w:szCs w:val="32"/>
        </w:rPr>
        <w:t xml:space="preserve">　　二、绩效评价指标分析情况</w:t>
      </w:r>
    </w:p>
    <w:p w:rsidR="005E1906" w:rsidRDefault="007D4208">
      <w:pPr>
        <w:adjustRightInd/>
        <w:snapToGrid/>
        <w:spacing w:after="0" w:line="560" w:lineRule="exact"/>
        <w:ind w:firstLine="480"/>
        <w:jc w:val="both"/>
        <w:rPr>
          <w:rFonts w:ascii="Times New Roman" w:eastAsia="宋体" w:hAnsi="Times New Roman" w:cs="Times New Roman"/>
          <w:sz w:val="21"/>
          <w:szCs w:val="21"/>
        </w:rPr>
      </w:pPr>
      <w:r>
        <w:rPr>
          <w:rFonts w:ascii="楷体" w:eastAsia="楷体" w:hAnsi="楷体" w:cs="Times New Roman" w:hint="eastAsia"/>
          <w:b/>
          <w:bCs/>
          <w:sz w:val="32"/>
          <w:szCs w:val="32"/>
        </w:rPr>
        <w:t xml:space="preserve">　（一）项目资金情况分析</w:t>
      </w:r>
    </w:p>
    <w:p w:rsidR="005E1906" w:rsidRDefault="007D4208">
      <w:pPr>
        <w:adjustRightInd/>
        <w:snapToGrid/>
        <w:spacing w:after="0" w:line="560" w:lineRule="exact"/>
        <w:ind w:firstLine="640"/>
        <w:jc w:val="both"/>
        <w:rPr>
          <w:rFonts w:ascii="仿宋_GB2312" w:eastAsia="仿宋_GB2312" w:hAnsi="仿宋_GB2312" w:cs="仿宋_GB2312"/>
          <w:sz w:val="21"/>
          <w:szCs w:val="21"/>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项目资金到位情况分析</w:t>
      </w:r>
    </w:p>
    <w:p w:rsidR="005E1906" w:rsidRDefault="007D4208">
      <w:pPr>
        <w:adjustRightInd/>
        <w:snapToGrid/>
        <w:spacing w:after="0" w:line="56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年，市财政拨付市行政审批服务局</w:t>
      </w:r>
      <w:r>
        <w:rPr>
          <w:rFonts w:ascii="仿宋_GB2312" w:eastAsia="仿宋_GB2312" w:hAnsi="仿宋_GB2312" w:cs="仿宋_GB2312" w:hint="eastAsia"/>
          <w:sz w:val="32"/>
          <w:szCs w:val="32"/>
        </w:rPr>
        <w:t>劳务派遣人员工资、社区接入电子政务外网电路租赁、大厅营运维护费用、物业管理费、窗口工作人员补贴、业务培训费</w:t>
      </w:r>
      <w:r>
        <w:rPr>
          <w:rFonts w:ascii="仿宋_GB2312" w:eastAsia="仿宋_GB2312" w:hAnsi="仿宋_GB2312" w:cs="仿宋_GB2312" w:hint="eastAsia"/>
          <w:sz w:val="32"/>
          <w:szCs w:val="32"/>
        </w:rPr>
        <w:t>、电费及水费、水电及安防费用</w:t>
      </w:r>
      <w:r>
        <w:rPr>
          <w:rFonts w:ascii="仿宋_GB2312" w:eastAsia="仿宋_GB2312" w:hAnsi="仿宋_GB2312" w:cs="仿宋_GB2312" w:hint="eastAsia"/>
          <w:sz w:val="32"/>
          <w:szCs w:val="32"/>
        </w:rPr>
        <w:t>专项经费</w:t>
      </w:r>
      <w:r>
        <w:rPr>
          <w:rFonts w:ascii="仿宋_GB2312" w:eastAsia="仿宋_GB2312" w:hAnsi="仿宋_GB2312" w:cs="仿宋_GB2312" w:hint="eastAsia"/>
          <w:sz w:val="32"/>
          <w:szCs w:val="32"/>
        </w:rPr>
        <w:t>502</w:t>
      </w:r>
      <w:r>
        <w:rPr>
          <w:rFonts w:ascii="仿宋_GB2312" w:eastAsia="仿宋_GB2312" w:hAnsi="仿宋_GB2312" w:cs="仿宋_GB2312" w:hint="eastAsia"/>
          <w:sz w:val="32"/>
          <w:szCs w:val="32"/>
        </w:rPr>
        <w:t>万元。</w:t>
      </w:r>
    </w:p>
    <w:tbl>
      <w:tblPr>
        <w:tblW w:w="8550" w:type="dxa"/>
        <w:tblInd w:w="93" w:type="dxa"/>
        <w:tblLook w:val="04A0"/>
      </w:tblPr>
      <w:tblGrid>
        <w:gridCol w:w="2016"/>
        <w:gridCol w:w="2265"/>
        <w:gridCol w:w="2109"/>
        <w:gridCol w:w="1080"/>
        <w:gridCol w:w="1080"/>
      </w:tblGrid>
      <w:tr w:rsidR="005E1906">
        <w:trPr>
          <w:trHeight w:val="405"/>
        </w:trPr>
        <w:tc>
          <w:tcPr>
            <w:tcW w:w="8550" w:type="dxa"/>
            <w:gridSpan w:val="5"/>
            <w:tcBorders>
              <w:top w:val="nil"/>
              <w:left w:val="nil"/>
              <w:bottom w:val="nil"/>
              <w:right w:val="nil"/>
            </w:tcBorders>
            <w:shd w:val="clear" w:color="auto" w:fill="auto"/>
            <w:noWrap/>
            <w:vAlign w:val="center"/>
          </w:tcPr>
          <w:p w:rsidR="005E1906" w:rsidRDefault="007D4208">
            <w:pPr>
              <w:jc w:val="center"/>
              <w:textAlignment w:val="center"/>
              <w:rPr>
                <w:rFonts w:ascii="宋体" w:eastAsia="宋体" w:hAnsi="宋体" w:cs="宋体"/>
                <w:b/>
                <w:bCs/>
                <w:color w:val="000000"/>
                <w:sz w:val="32"/>
                <w:szCs w:val="32"/>
              </w:rPr>
            </w:pPr>
            <w:r>
              <w:rPr>
                <w:rFonts w:ascii="宋体" w:eastAsia="宋体" w:hAnsi="宋体" w:cs="宋体" w:hint="eastAsia"/>
                <w:b/>
                <w:bCs/>
                <w:color w:val="000000"/>
                <w:sz w:val="32"/>
                <w:szCs w:val="32"/>
                <w:lang/>
              </w:rPr>
              <w:t>专项资金汇总表</w:t>
            </w:r>
          </w:p>
        </w:tc>
      </w:tr>
      <w:tr w:rsidR="005E1906">
        <w:trPr>
          <w:trHeight w:val="270"/>
        </w:trPr>
        <w:tc>
          <w:tcPr>
            <w:tcW w:w="20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1906" w:rsidRDefault="007D4208">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项目名称</w:t>
            </w:r>
          </w:p>
        </w:tc>
        <w:tc>
          <w:tcPr>
            <w:tcW w:w="22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1906" w:rsidRDefault="007D4208">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功能科目编码</w:t>
            </w:r>
          </w:p>
        </w:tc>
        <w:tc>
          <w:tcPr>
            <w:tcW w:w="2109" w:type="dxa"/>
            <w:vMerge w:val="restart"/>
            <w:tcBorders>
              <w:top w:val="single" w:sz="4" w:space="0" w:color="000000"/>
              <w:left w:val="single" w:sz="4" w:space="0" w:color="000000"/>
              <w:bottom w:val="single" w:sz="4" w:space="0" w:color="000000"/>
              <w:right w:val="nil"/>
            </w:tcBorders>
            <w:shd w:val="clear" w:color="auto" w:fill="auto"/>
            <w:vAlign w:val="center"/>
          </w:tcPr>
          <w:p w:rsidR="005E1906" w:rsidRDefault="007D4208">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功能科目名称</w:t>
            </w:r>
          </w:p>
        </w:tc>
        <w:tc>
          <w:tcPr>
            <w:tcW w:w="1080" w:type="dxa"/>
            <w:vMerge w:val="restart"/>
            <w:tcBorders>
              <w:top w:val="single" w:sz="4" w:space="0" w:color="000000"/>
              <w:left w:val="single" w:sz="4" w:space="0" w:color="000000"/>
              <w:bottom w:val="single" w:sz="4" w:space="0" w:color="000000"/>
              <w:right w:val="nil"/>
            </w:tcBorders>
            <w:shd w:val="clear" w:color="auto" w:fill="auto"/>
            <w:vAlign w:val="center"/>
          </w:tcPr>
          <w:p w:rsidR="005E1906" w:rsidRDefault="007D4208">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金额</w:t>
            </w:r>
          </w:p>
        </w:tc>
        <w:tc>
          <w:tcPr>
            <w:tcW w:w="1080" w:type="dxa"/>
            <w:tcBorders>
              <w:top w:val="single" w:sz="4" w:space="0" w:color="000000"/>
              <w:left w:val="single" w:sz="4" w:space="0" w:color="000000"/>
              <w:bottom w:val="nil"/>
              <w:right w:val="single" w:sz="4" w:space="0" w:color="000000"/>
            </w:tcBorders>
            <w:shd w:val="clear" w:color="auto" w:fill="auto"/>
            <w:vAlign w:val="center"/>
          </w:tcPr>
          <w:p w:rsidR="005E1906" w:rsidRDefault="007D4208">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资金来源</w:t>
            </w:r>
          </w:p>
        </w:tc>
      </w:tr>
      <w:tr w:rsidR="005E1906">
        <w:trPr>
          <w:trHeight w:val="433"/>
        </w:trPr>
        <w:tc>
          <w:tcPr>
            <w:tcW w:w="20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1906" w:rsidRDefault="005E1906">
            <w:pPr>
              <w:jc w:val="center"/>
              <w:rPr>
                <w:rFonts w:ascii="宋体" w:eastAsia="宋体" w:hAnsi="宋体" w:cs="宋体"/>
                <w:color w:val="000000"/>
                <w:sz w:val="18"/>
                <w:szCs w:val="18"/>
              </w:rPr>
            </w:pPr>
          </w:p>
        </w:tc>
        <w:tc>
          <w:tcPr>
            <w:tcW w:w="22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1906" w:rsidRDefault="005E1906">
            <w:pPr>
              <w:jc w:val="center"/>
              <w:rPr>
                <w:rFonts w:ascii="宋体" w:eastAsia="宋体" w:hAnsi="宋体" w:cs="宋体"/>
                <w:color w:val="000000"/>
                <w:sz w:val="18"/>
                <w:szCs w:val="18"/>
              </w:rPr>
            </w:pPr>
          </w:p>
        </w:tc>
        <w:tc>
          <w:tcPr>
            <w:tcW w:w="2109" w:type="dxa"/>
            <w:vMerge/>
            <w:tcBorders>
              <w:top w:val="single" w:sz="4" w:space="0" w:color="000000"/>
              <w:left w:val="single" w:sz="4" w:space="0" w:color="000000"/>
              <w:bottom w:val="single" w:sz="4" w:space="0" w:color="000000"/>
              <w:right w:val="nil"/>
            </w:tcBorders>
            <w:shd w:val="clear" w:color="auto" w:fill="auto"/>
            <w:vAlign w:val="center"/>
          </w:tcPr>
          <w:p w:rsidR="005E1906" w:rsidRDefault="005E1906">
            <w:pPr>
              <w:jc w:val="center"/>
              <w:rPr>
                <w:rFonts w:ascii="宋体" w:eastAsia="宋体" w:hAnsi="宋体" w:cs="宋体"/>
                <w:color w:val="000000"/>
                <w:sz w:val="18"/>
                <w:szCs w:val="18"/>
              </w:rPr>
            </w:pPr>
          </w:p>
        </w:tc>
        <w:tc>
          <w:tcPr>
            <w:tcW w:w="1080" w:type="dxa"/>
            <w:vMerge/>
            <w:tcBorders>
              <w:top w:val="single" w:sz="4" w:space="0" w:color="000000"/>
              <w:left w:val="single" w:sz="4" w:space="0" w:color="000000"/>
              <w:bottom w:val="single" w:sz="4" w:space="0" w:color="000000"/>
              <w:right w:val="nil"/>
            </w:tcBorders>
            <w:shd w:val="clear" w:color="auto" w:fill="auto"/>
            <w:vAlign w:val="center"/>
          </w:tcPr>
          <w:p w:rsidR="005E1906" w:rsidRDefault="005E1906">
            <w:pPr>
              <w:jc w:val="center"/>
              <w:rPr>
                <w:rFonts w:ascii="宋体" w:eastAsia="宋体" w:hAnsi="宋体" w:cs="宋体"/>
                <w:color w:val="000000"/>
                <w:sz w:val="18"/>
                <w:szCs w:val="18"/>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1906" w:rsidRDefault="007D4208">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一、经费拨款</w:t>
            </w:r>
          </w:p>
        </w:tc>
      </w:tr>
      <w:tr w:rsidR="005E1906">
        <w:trPr>
          <w:trHeight w:val="433"/>
        </w:trPr>
        <w:tc>
          <w:tcPr>
            <w:tcW w:w="20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1906" w:rsidRDefault="005E1906">
            <w:pPr>
              <w:jc w:val="center"/>
              <w:rPr>
                <w:rFonts w:ascii="宋体" w:eastAsia="宋体" w:hAnsi="宋体" w:cs="宋体"/>
                <w:color w:val="000000"/>
                <w:sz w:val="18"/>
                <w:szCs w:val="18"/>
              </w:rPr>
            </w:pPr>
          </w:p>
        </w:tc>
        <w:tc>
          <w:tcPr>
            <w:tcW w:w="22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1906" w:rsidRDefault="005E1906">
            <w:pPr>
              <w:jc w:val="center"/>
              <w:rPr>
                <w:rFonts w:ascii="宋体" w:eastAsia="宋体" w:hAnsi="宋体" w:cs="宋体"/>
                <w:color w:val="000000"/>
                <w:sz w:val="18"/>
                <w:szCs w:val="18"/>
              </w:rPr>
            </w:pPr>
          </w:p>
        </w:tc>
        <w:tc>
          <w:tcPr>
            <w:tcW w:w="2109" w:type="dxa"/>
            <w:vMerge/>
            <w:tcBorders>
              <w:top w:val="single" w:sz="4" w:space="0" w:color="000000"/>
              <w:left w:val="single" w:sz="4" w:space="0" w:color="000000"/>
              <w:bottom w:val="single" w:sz="4" w:space="0" w:color="000000"/>
              <w:right w:val="nil"/>
            </w:tcBorders>
            <w:shd w:val="clear" w:color="auto" w:fill="auto"/>
            <w:vAlign w:val="center"/>
          </w:tcPr>
          <w:p w:rsidR="005E1906" w:rsidRDefault="005E1906">
            <w:pPr>
              <w:jc w:val="center"/>
              <w:rPr>
                <w:rFonts w:ascii="宋体" w:eastAsia="宋体" w:hAnsi="宋体" w:cs="宋体"/>
                <w:color w:val="000000"/>
                <w:sz w:val="18"/>
                <w:szCs w:val="18"/>
              </w:rPr>
            </w:pPr>
          </w:p>
        </w:tc>
        <w:tc>
          <w:tcPr>
            <w:tcW w:w="1080" w:type="dxa"/>
            <w:vMerge/>
            <w:tcBorders>
              <w:top w:val="single" w:sz="4" w:space="0" w:color="000000"/>
              <w:left w:val="single" w:sz="4" w:space="0" w:color="000000"/>
              <w:bottom w:val="single" w:sz="4" w:space="0" w:color="000000"/>
              <w:right w:val="nil"/>
            </w:tcBorders>
            <w:shd w:val="clear" w:color="auto" w:fill="auto"/>
            <w:vAlign w:val="center"/>
          </w:tcPr>
          <w:p w:rsidR="005E1906" w:rsidRDefault="005E1906">
            <w:pPr>
              <w:jc w:val="center"/>
              <w:rPr>
                <w:rFonts w:ascii="宋体" w:eastAsia="宋体" w:hAnsi="宋体" w:cs="宋体"/>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1906" w:rsidRDefault="005E1906">
            <w:pPr>
              <w:jc w:val="center"/>
              <w:rPr>
                <w:rFonts w:ascii="宋体" w:eastAsia="宋体" w:hAnsi="宋体" w:cs="宋体"/>
                <w:color w:val="000000"/>
                <w:sz w:val="18"/>
                <w:szCs w:val="18"/>
              </w:rPr>
            </w:pPr>
          </w:p>
        </w:tc>
      </w:tr>
      <w:tr w:rsidR="005E1906">
        <w:trPr>
          <w:trHeight w:val="270"/>
        </w:trPr>
        <w:tc>
          <w:tcPr>
            <w:tcW w:w="2016"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合计</w:t>
            </w:r>
          </w:p>
        </w:tc>
        <w:tc>
          <w:tcPr>
            <w:tcW w:w="2265" w:type="dxa"/>
            <w:tcBorders>
              <w:top w:val="single" w:sz="4" w:space="0" w:color="000000"/>
              <w:left w:val="single" w:sz="4" w:space="0" w:color="000000"/>
              <w:bottom w:val="single" w:sz="4" w:space="0" w:color="000000"/>
              <w:right w:val="nil"/>
            </w:tcBorders>
            <w:shd w:val="clear" w:color="auto" w:fill="FFFFFF"/>
            <w:vAlign w:val="center"/>
          </w:tcPr>
          <w:p w:rsidR="005E1906" w:rsidRDefault="005E1906">
            <w:pPr>
              <w:rPr>
                <w:rFonts w:ascii="宋体" w:eastAsia="宋体" w:hAnsi="宋体" w:cs="宋体"/>
                <w:color w:val="000000"/>
                <w:sz w:val="18"/>
                <w:szCs w:val="18"/>
              </w:rPr>
            </w:pPr>
          </w:p>
        </w:tc>
        <w:tc>
          <w:tcPr>
            <w:tcW w:w="2109" w:type="dxa"/>
            <w:tcBorders>
              <w:top w:val="single" w:sz="4" w:space="0" w:color="000000"/>
              <w:left w:val="single" w:sz="4" w:space="0" w:color="000000"/>
              <w:bottom w:val="single" w:sz="4" w:space="0" w:color="000000"/>
              <w:right w:val="nil"/>
            </w:tcBorders>
            <w:shd w:val="clear" w:color="auto" w:fill="FFFFFF"/>
            <w:vAlign w:val="center"/>
          </w:tcPr>
          <w:p w:rsidR="005E1906" w:rsidRDefault="005E1906">
            <w:pPr>
              <w:rPr>
                <w:rFonts w:ascii="宋体" w:eastAsia="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1906" w:rsidRDefault="007D4208">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5020.00</w:t>
            </w:r>
          </w:p>
        </w:tc>
        <w:tc>
          <w:tcPr>
            <w:tcW w:w="1080" w:type="dxa"/>
            <w:tcBorders>
              <w:top w:val="nil"/>
              <w:left w:val="nil"/>
              <w:bottom w:val="single" w:sz="4" w:space="0" w:color="000000"/>
              <w:right w:val="single" w:sz="4" w:space="0" w:color="000000"/>
            </w:tcBorders>
            <w:shd w:val="clear" w:color="auto" w:fill="FFFFFF"/>
            <w:vAlign w:val="center"/>
          </w:tcPr>
          <w:p w:rsidR="005E1906" w:rsidRDefault="007D4208">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5020.00</w:t>
            </w:r>
          </w:p>
        </w:tc>
      </w:tr>
      <w:tr w:rsidR="005E1906">
        <w:trPr>
          <w:trHeight w:val="675"/>
        </w:trPr>
        <w:tc>
          <w:tcPr>
            <w:tcW w:w="2016"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新增劳务派遣人员工资</w:t>
            </w:r>
          </w:p>
        </w:tc>
        <w:tc>
          <w:tcPr>
            <w:tcW w:w="2265"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2010305</w:t>
            </w:r>
          </w:p>
        </w:tc>
        <w:tc>
          <w:tcPr>
            <w:tcW w:w="2109"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专项业务及机关事物管理</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1906" w:rsidRDefault="007D4208">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960.00</w:t>
            </w:r>
          </w:p>
        </w:tc>
        <w:tc>
          <w:tcPr>
            <w:tcW w:w="1080" w:type="dxa"/>
            <w:tcBorders>
              <w:top w:val="nil"/>
              <w:left w:val="nil"/>
              <w:bottom w:val="single" w:sz="4" w:space="0" w:color="000000"/>
              <w:right w:val="single" w:sz="4" w:space="0" w:color="000000"/>
            </w:tcBorders>
            <w:shd w:val="clear" w:color="auto" w:fill="FFFFFF"/>
            <w:vAlign w:val="center"/>
          </w:tcPr>
          <w:p w:rsidR="005E1906" w:rsidRDefault="007D4208">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960.00</w:t>
            </w:r>
          </w:p>
        </w:tc>
      </w:tr>
      <w:tr w:rsidR="005E1906">
        <w:trPr>
          <w:trHeight w:val="675"/>
        </w:trPr>
        <w:tc>
          <w:tcPr>
            <w:tcW w:w="2016"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新增大厅营运维护费用</w:t>
            </w:r>
          </w:p>
        </w:tc>
        <w:tc>
          <w:tcPr>
            <w:tcW w:w="2265"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2010305</w:t>
            </w:r>
          </w:p>
        </w:tc>
        <w:tc>
          <w:tcPr>
            <w:tcW w:w="2109"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专项业务及机关事物管理</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1906" w:rsidRDefault="007D4208">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500.00</w:t>
            </w:r>
          </w:p>
        </w:tc>
        <w:tc>
          <w:tcPr>
            <w:tcW w:w="1080" w:type="dxa"/>
            <w:tcBorders>
              <w:top w:val="nil"/>
              <w:left w:val="nil"/>
              <w:bottom w:val="single" w:sz="4" w:space="0" w:color="000000"/>
              <w:right w:val="single" w:sz="4" w:space="0" w:color="000000"/>
            </w:tcBorders>
            <w:shd w:val="clear" w:color="auto" w:fill="FFFFFF"/>
            <w:vAlign w:val="center"/>
          </w:tcPr>
          <w:p w:rsidR="005E1906" w:rsidRDefault="007D4208">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500.00</w:t>
            </w:r>
          </w:p>
        </w:tc>
      </w:tr>
      <w:tr w:rsidR="005E1906">
        <w:trPr>
          <w:trHeight w:val="675"/>
        </w:trPr>
        <w:tc>
          <w:tcPr>
            <w:tcW w:w="2016"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物业管理费</w:t>
            </w:r>
          </w:p>
        </w:tc>
        <w:tc>
          <w:tcPr>
            <w:tcW w:w="2265"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2010305</w:t>
            </w:r>
          </w:p>
        </w:tc>
        <w:tc>
          <w:tcPr>
            <w:tcW w:w="2109"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专项业务及机关事物管理</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1906" w:rsidRDefault="007D4208">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580.00</w:t>
            </w:r>
          </w:p>
        </w:tc>
        <w:tc>
          <w:tcPr>
            <w:tcW w:w="1080" w:type="dxa"/>
            <w:tcBorders>
              <w:top w:val="nil"/>
              <w:left w:val="nil"/>
              <w:bottom w:val="single" w:sz="4" w:space="0" w:color="000000"/>
              <w:right w:val="single" w:sz="4" w:space="0" w:color="000000"/>
            </w:tcBorders>
            <w:shd w:val="clear" w:color="auto" w:fill="FFFFFF"/>
            <w:vAlign w:val="center"/>
          </w:tcPr>
          <w:p w:rsidR="005E1906" w:rsidRDefault="007D4208">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580.00</w:t>
            </w:r>
          </w:p>
        </w:tc>
      </w:tr>
      <w:tr w:rsidR="005E1906">
        <w:trPr>
          <w:trHeight w:val="675"/>
        </w:trPr>
        <w:tc>
          <w:tcPr>
            <w:tcW w:w="2016"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窗口工作人员补贴</w:t>
            </w:r>
          </w:p>
        </w:tc>
        <w:tc>
          <w:tcPr>
            <w:tcW w:w="2265"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2010305</w:t>
            </w:r>
          </w:p>
        </w:tc>
        <w:tc>
          <w:tcPr>
            <w:tcW w:w="2109"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专项业务及机关事物管理</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1906" w:rsidRDefault="007D4208">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1580.00</w:t>
            </w:r>
          </w:p>
        </w:tc>
        <w:tc>
          <w:tcPr>
            <w:tcW w:w="1080" w:type="dxa"/>
            <w:tcBorders>
              <w:top w:val="nil"/>
              <w:left w:val="nil"/>
              <w:bottom w:val="single" w:sz="4" w:space="0" w:color="000000"/>
              <w:right w:val="single" w:sz="4" w:space="0" w:color="000000"/>
            </w:tcBorders>
            <w:shd w:val="clear" w:color="auto" w:fill="FFFFFF"/>
            <w:vAlign w:val="center"/>
          </w:tcPr>
          <w:p w:rsidR="005E1906" w:rsidRDefault="007D4208">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1580.00</w:t>
            </w:r>
          </w:p>
        </w:tc>
      </w:tr>
      <w:tr w:rsidR="005E1906">
        <w:trPr>
          <w:trHeight w:val="675"/>
        </w:trPr>
        <w:tc>
          <w:tcPr>
            <w:tcW w:w="2016"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业务培训费</w:t>
            </w:r>
          </w:p>
        </w:tc>
        <w:tc>
          <w:tcPr>
            <w:tcW w:w="2265"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2010305</w:t>
            </w:r>
          </w:p>
        </w:tc>
        <w:tc>
          <w:tcPr>
            <w:tcW w:w="2109"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专项业务及机关事物管理</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1906" w:rsidRDefault="007D4208">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200.00</w:t>
            </w:r>
          </w:p>
        </w:tc>
        <w:tc>
          <w:tcPr>
            <w:tcW w:w="1080" w:type="dxa"/>
            <w:tcBorders>
              <w:top w:val="nil"/>
              <w:left w:val="nil"/>
              <w:bottom w:val="single" w:sz="4" w:space="0" w:color="000000"/>
              <w:right w:val="single" w:sz="4" w:space="0" w:color="000000"/>
            </w:tcBorders>
            <w:shd w:val="clear" w:color="auto" w:fill="FFFFFF"/>
            <w:vAlign w:val="center"/>
          </w:tcPr>
          <w:p w:rsidR="005E1906" w:rsidRDefault="007D4208">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200.00</w:t>
            </w:r>
          </w:p>
        </w:tc>
      </w:tr>
      <w:tr w:rsidR="005E1906">
        <w:trPr>
          <w:trHeight w:val="675"/>
        </w:trPr>
        <w:tc>
          <w:tcPr>
            <w:tcW w:w="2016"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电费</w:t>
            </w:r>
            <w:bookmarkStart w:id="0" w:name="_GoBack"/>
            <w:bookmarkEnd w:id="0"/>
            <w:r>
              <w:rPr>
                <w:rFonts w:ascii="宋体" w:eastAsia="宋体" w:hAnsi="宋体" w:cs="宋体" w:hint="eastAsia"/>
                <w:color w:val="000000"/>
                <w:sz w:val="18"/>
                <w:szCs w:val="18"/>
                <w:lang/>
              </w:rPr>
              <w:t>及水费</w:t>
            </w:r>
          </w:p>
        </w:tc>
        <w:tc>
          <w:tcPr>
            <w:tcW w:w="2265"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2010305</w:t>
            </w:r>
          </w:p>
        </w:tc>
        <w:tc>
          <w:tcPr>
            <w:tcW w:w="2109"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专项业务及机关事物管理</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1906" w:rsidRDefault="007D4208">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1000.00</w:t>
            </w:r>
          </w:p>
        </w:tc>
        <w:tc>
          <w:tcPr>
            <w:tcW w:w="1080" w:type="dxa"/>
            <w:tcBorders>
              <w:top w:val="nil"/>
              <w:left w:val="nil"/>
              <w:bottom w:val="single" w:sz="4" w:space="0" w:color="000000"/>
              <w:right w:val="single" w:sz="4" w:space="0" w:color="000000"/>
            </w:tcBorders>
            <w:shd w:val="clear" w:color="auto" w:fill="FFFFFF"/>
            <w:vAlign w:val="center"/>
          </w:tcPr>
          <w:p w:rsidR="005E1906" w:rsidRDefault="007D4208">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1000.00</w:t>
            </w:r>
          </w:p>
        </w:tc>
      </w:tr>
      <w:tr w:rsidR="005E1906">
        <w:trPr>
          <w:trHeight w:val="450"/>
        </w:trPr>
        <w:tc>
          <w:tcPr>
            <w:tcW w:w="2016"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lastRenderedPageBreak/>
              <w:t>数据共享交换平台运维</w:t>
            </w:r>
          </w:p>
        </w:tc>
        <w:tc>
          <w:tcPr>
            <w:tcW w:w="2265"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2010504</w:t>
            </w:r>
          </w:p>
        </w:tc>
        <w:tc>
          <w:tcPr>
            <w:tcW w:w="2109"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信息事务</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1906" w:rsidRDefault="007D4208">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100.00</w:t>
            </w:r>
          </w:p>
        </w:tc>
        <w:tc>
          <w:tcPr>
            <w:tcW w:w="1080" w:type="dxa"/>
            <w:tcBorders>
              <w:top w:val="nil"/>
              <w:left w:val="nil"/>
              <w:bottom w:val="single" w:sz="4" w:space="0" w:color="000000"/>
              <w:right w:val="single" w:sz="4" w:space="0" w:color="000000"/>
            </w:tcBorders>
            <w:shd w:val="clear" w:color="auto" w:fill="FFFFFF"/>
            <w:vAlign w:val="center"/>
          </w:tcPr>
          <w:p w:rsidR="005E1906" w:rsidRDefault="007D4208">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100.00</w:t>
            </w:r>
          </w:p>
        </w:tc>
      </w:tr>
      <w:tr w:rsidR="005E1906">
        <w:trPr>
          <w:trHeight w:val="675"/>
        </w:trPr>
        <w:tc>
          <w:tcPr>
            <w:tcW w:w="2016"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政务一体化平台后期运维</w:t>
            </w:r>
          </w:p>
        </w:tc>
        <w:tc>
          <w:tcPr>
            <w:tcW w:w="2265"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2010504</w:t>
            </w:r>
          </w:p>
        </w:tc>
        <w:tc>
          <w:tcPr>
            <w:tcW w:w="2109" w:type="dxa"/>
            <w:tcBorders>
              <w:top w:val="single" w:sz="4" w:space="0" w:color="000000"/>
              <w:left w:val="single" w:sz="4" w:space="0" w:color="000000"/>
              <w:bottom w:val="single" w:sz="4" w:space="0" w:color="000000"/>
              <w:right w:val="nil"/>
            </w:tcBorders>
            <w:shd w:val="clear" w:color="auto" w:fill="FFFFFF"/>
            <w:vAlign w:val="center"/>
          </w:tcPr>
          <w:p w:rsidR="005E1906" w:rsidRDefault="007D4208">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信息事务</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1906" w:rsidRDefault="007D4208">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100.00</w:t>
            </w:r>
          </w:p>
        </w:tc>
        <w:tc>
          <w:tcPr>
            <w:tcW w:w="1080" w:type="dxa"/>
            <w:tcBorders>
              <w:top w:val="nil"/>
              <w:left w:val="nil"/>
              <w:bottom w:val="single" w:sz="4" w:space="0" w:color="000000"/>
              <w:right w:val="single" w:sz="4" w:space="0" w:color="000000"/>
            </w:tcBorders>
            <w:shd w:val="clear" w:color="auto" w:fill="FFFFFF"/>
            <w:vAlign w:val="center"/>
          </w:tcPr>
          <w:p w:rsidR="005E1906" w:rsidRDefault="007D4208">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rPr>
              <w:t>100.00</w:t>
            </w:r>
          </w:p>
        </w:tc>
      </w:tr>
    </w:tbl>
    <w:p w:rsidR="005E1906" w:rsidRDefault="007D4208">
      <w:pPr>
        <w:adjustRightInd/>
        <w:snapToGrid/>
        <w:spacing w:after="0" w:line="560" w:lineRule="exact"/>
        <w:ind w:firstLineChars="200" w:firstLine="640"/>
        <w:jc w:val="both"/>
        <w:rPr>
          <w:rFonts w:ascii="仿宋_GB2312" w:eastAsia="仿宋_GB2312" w:hAnsi="仿宋_GB2312" w:cs="仿宋_GB2312"/>
          <w:sz w:val="21"/>
          <w:szCs w:val="21"/>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项目资金管理情况</w:t>
      </w:r>
    </w:p>
    <w:p w:rsidR="005E1906" w:rsidRDefault="007D4208">
      <w:pPr>
        <w:adjustRightInd/>
        <w:snapToGrid/>
        <w:spacing w:after="0" w:line="560" w:lineRule="exact"/>
        <w:ind w:firstLineChars="200" w:firstLine="640"/>
        <w:jc w:val="both"/>
        <w:rPr>
          <w:rFonts w:ascii="仿宋_GB2312" w:eastAsia="仿宋_GB2312" w:hAnsi="仿宋_GB2312" w:cs="仿宋_GB2312"/>
          <w:sz w:val="21"/>
          <w:szCs w:val="21"/>
        </w:rPr>
      </w:pPr>
      <w:r>
        <w:rPr>
          <w:rFonts w:ascii="仿宋_GB2312" w:eastAsia="仿宋_GB2312" w:hAnsi="仿宋_GB2312" w:cs="仿宋_GB2312" w:hint="eastAsia"/>
          <w:sz w:val="32"/>
          <w:szCs w:val="32"/>
        </w:rPr>
        <w:t>局机关财务制度健全，管理规范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账务处理及时，会计核算规范。专项资金严格按照国家规定的项目资金相关法律、法规的规定和要求使用，确保资金的专款专用，项目资金严格按照国家规定的项目资金管理有关法律法规的规定使用。</w:t>
      </w:r>
    </w:p>
    <w:p w:rsidR="005E1906" w:rsidRDefault="007D4208">
      <w:pPr>
        <w:adjustRightInd/>
        <w:snapToGrid/>
        <w:spacing w:after="0" w:line="560" w:lineRule="exact"/>
        <w:ind w:firstLineChars="200" w:firstLine="640"/>
        <w:jc w:val="both"/>
        <w:rPr>
          <w:rFonts w:ascii="华文楷体" w:eastAsia="华文楷体" w:hAnsi="华文楷体" w:cs="华文楷体"/>
          <w:sz w:val="21"/>
          <w:szCs w:val="21"/>
        </w:rPr>
      </w:pPr>
      <w:r>
        <w:rPr>
          <w:rFonts w:ascii="华文楷体" w:eastAsia="华文楷体" w:hAnsi="华文楷体" w:cs="华文楷体" w:hint="eastAsia"/>
          <w:sz w:val="32"/>
          <w:szCs w:val="32"/>
        </w:rPr>
        <w:t>（二）项目实施及管理情况</w:t>
      </w:r>
    </w:p>
    <w:p w:rsidR="005E1906" w:rsidRDefault="007D4208">
      <w:pPr>
        <w:adjustRightInd/>
        <w:snapToGrid/>
        <w:spacing w:after="0" w:line="560" w:lineRule="exact"/>
        <w:ind w:firstLine="640"/>
        <w:jc w:val="both"/>
        <w:rPr>
          <w:rFonts w:ascii="仿宋_GB2312" w:eastAsia="仿宋_GB2312" w:hAnsi="仿宋_GB2312" w:cs="仿宋_GB2312"/>
          <w:sz w:val="21"/>
          <w:szCs w:val="21"/>
        </w:rPr>
      </w:pPr>
      <w:r>
        <w:rPr>
          <w:rFonts w:ascii="仿宋_GB2312" w:eastAsia="仿宋_GB2312" w:hAnsi="仿宋_GB2312" w:cs="仿宋_GB2312" w:hint="eastAsia"/>
          <w:sz w:val="32"/>
          <w:szCs w:val="32"/>
        </w:rPr>
        <w:t>在专项资金组织管理上，我们严格按照国家和省市规定的项目资金相关法律、法规的规定和要求使用，内部实现了专项资金统一归口管理，坚持专款专用，量入为出的原则，使专用资金按规定的用途使用并达到预期目的，严禁截留、挪用和不合理支出。制订完善财务审批制度、出差审批制度、专项资金使用制度等各项管理制度，项目资金使用情况接受财政、审计部门的监督检查，在项目实施过程中和项目完成后，定期或不定期对项目资金的使用进行监督检查，厉行节俭，强化监管，确保专项资金管理规范，促进项目顺利实施。</w:t>
      </w:r>
    </w:p>
    <w:p w:rsidR="005E1906" w:rsidRDefault="007D4208">
      <w:pPr>
        <w:adjustRightInd/>
        <w:snapToGrid/>
        <w:spacing w:after="0" w:line="560" w:lineRule="exact"/>
        <w:ind w:firstLineChars="200" w:firstLine="640"/>
        <w:jc w:val="both"/>
        <w:rPr>
          <w:rFonts w:ascii="华文楷体" w:eastAsia="华文楷体" w:hAnsi="华文楷体" w:cs="华文楷体"/>
          <w:sz w:val="21"/>
          <w:szCs w:val="21"/>
        </w:rPr>
      </w:pPr>
      <w:r>
        <w:rPr>
          <w:rFonts w:ascii="华文楷体" w:eastAsia="华文楷体" w:hAnsi="华文楷体" w:cs="华文楷体" w:hint="eastAsia"/>
          <w:sz w:val="32"/>
          <w:szCs w:val="32"/>
        </w:rPr>
        <w:t>（三）项目绩效情况分析</w:t>
      </w:r>
    </w:p>
    <w:p w:rsidR="005E1906" w:rsidRDefault="007D4208">
      <w:pPr>
        <w:adjustRightInd/>
        <w:snapToGrid/>
        <w:spacing w:after="0" w:line="560" w:lineRule="exact"/>
        <w:ind w:firstLine="640"/>
        <w:jc w:val="both"/>
        <w:rPr>
          <w:rFonts w:ascii="仿宋_GB2312" w:eastAsia="仿宋_GB2312" w:hAnsi="仿宋_GB2312" w:cs="仿宋_GB2312"/>
          <w:sz w:val="21"/>
          <w:szCs w:val="21"/>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年度专项支</w:t>
      </w:r>
      <w:r>
        <w:rPr>
          <w:rFonts w:ascii="仿宋_GB2312" w:eastAsia="仿宋_GB2312" w:hAnsi="仿宋_GB2312" w:cs="仿宋_GB2312" w:hint="eastAsia"/>
          <w:sz w:val="32"/>
          <w:szCs w:val="32"/>
        </w:rPr>
        <w:t>出绩效显著，取得了良好的社会效应和经济效应。具体表现在：</w:t>
      </w:r>
    </w:p>
    <w:p w:rsidR="005E1906" w:rsidRDefault="007D4208">
      <w:pPr>
        <w:adjustRightInd/>
        <w:spacing w:after="0" w:line="560" w:lineRule="exact"/>
        <w:ind w:firstLine="640"/>
        <w:jc w:val="both"/>
        <w:rPr>
          <w:rFonts w:ascii="仿宋_GB2312" w:eastAsia="仿宋_GB2312" w:hAnsi="仿宋_GB2312" w:cs="仿宋_GB2312"/>
          <w:sz w:val="21"/>
          <w:szCs w:val="21"/>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政务服务环境持续优化</w:t>
      </w:r>
      <w:r>
        <w:rPr>
          <w:rFonts w:ascii="仿宋_GB2312" w:eastAsia="仿宋_GB2312" w:hAnsi="仿宋_GB2312" w:cs="仿宋_GB2312" w:hint="eastAsia"/>
          <w:sz w:val="32"/>
          <w:szCs w:val="32"/>
        </w:rPr>
        <w:t>;</w:t>
      </w:r>
    </w:p>
    <w:p w:rsidR="005E1906" w:rsidRDefault="007D4208">
      <w:pPr>
        <w:adjustRightInd/>
        <w:snapToGrid/>
        <w:spacing w:after="0" w:line="560" w:lineRule="exact"/>
        <w:ind w:firstLine="640"/>
        <w:jc w:val="both"/>
        <w:rPr>
          <w:rFonts w:ascii="仿宋_GB2312" w:eastAsia="仿宋_GB2312" w:hAnsi="仿宋_GB2312" w:cs="仿宋_GB2312"/>
          <w:sz w:val="21"/>
          <w:szCs w:val="21"/>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基层政务服务“一门式”时限全覆盖</w:t>
      </w:r>
      <w:r>
        <w:rPr>
          <w:rFonts w:ascii="仿宋_GB2312" w:eastAsia="仿宋_GB2312" w:hAnsi="仿宋_GB2312" w:cs="仿宋_GB2312" w:hint="eastAsia"/>
          <w:sz w:val="32"/>
          <w:szCs w:val="32"/>
        </w:rPr>
        <w:t>;</w:t>
      </w:r>
    </w:p>
    <w:p w:rsidR="005E1906" w:rsidRDefault="007D4208">
      <w:pPr>
        <w:adjustRightInd/>
        <w:spacing w:after="0" w:line="560" w:lineRule="exact"/>
        <w:ind w:firstLine="640"/>
        <w:jc w:val="both"/>
        <w:rPr>
          <w:rFonts w:ascii="仿宋_GB2312" w:eastAsia="仿宋_GB2312" w:hAnsi="仿宋_GB2312" w:cs="仿宋_GB2312"/>
          <w:sz w:val="21"/>
          <w:szCs w:val="21"/>
        </w:rPr>
      </w:pPr>
      <w:r>
        <w:rPr>
          <w:rFonts w:ascii="仿宋_GB2312" w:eastAsia="仿宋_GB2312" w:hAnsi="仿宋_GB2312" w:cs="仿宋_GB2312" w:hint="eastAsia"/>
          <w:sz w:val="32"/>
          <w:szCs w:val="32"/>
        </w:rPr>
        <w:lastRenderedPageBreak/>
        <w:t>3.</w:t>
      </w:r>
      <w:r>
        <w:rPr>
          <w:rFonts w:ascii="仿宋_GB2312" w:eastAsia="仿宋_GB2312" w:hAnsi="仿宋_GB2312" w:cs="仿宋_GB2312" w:hint="eastAsia"/>
          <w:sz w:val="32"/>
          <w:szCs w:val="32"/>
        </w:rPr>
        <w:t>窗口管理严明，规范了服务行为。严格窗口绩效考核，每月召开工作点评会，创新了窗口管理方式，开展评先评优，营造良好的服务氛围。</w:t>
      </w:r>
    </w:p>
    <w:p w:rsidR="005E1906" w:rsidRDefault="007D4208">
      <w:pPr>
        <w:adjustRightInd/>
        <w:snapToGrid/>
        <w:spacing w:after="0" w:line="560" w:lineRule="exact"/>
        <w:ind w:firstLineChars="200" w:firstLine="640"/>
        <w:jc w:val="both"/>
        <w:rPr>
          <w:rFonts w:ascii="华文楷体" w:eastAsia="华文楷体" w:hAnsi="华文楷体" w:cs="华文楷体"/>
          <w:sz w:val="21"/>
          <w:szCs w:val="21"/>
        </w:rPr>
      </w:pPr>
      <w:r>
        <w:rPr>
          <w:rFonts w:ascii="华文楷体" w:eastAsia="华文楷体" w:hAnsi="华文楷体" w:cs="华文楷体" w:hint="eastAsia"/>
          <w:sz w:val="32"/>
          <w:szCs w:val="32"/>
        </w:rPr>
        <w:t>（四）项目后续工作计划</w:t>
      </w:r>
    </w:p>
    <w:p w:rsidR="005E1906" w:rsidRDefault="007D4208">
      <w:pPr>
        <w:adjustRightInd/>
        <w:spacing w:after="0" w:line="560" w:lineRule="exact"/>
        <w:ind w:firstLine="640"/>
        <w:jc w:val="both"/>
        <w:rPr>
          <w:rFonts w:ascii="仿宋_GB2312" w:eastAsia="仿宋_GB2312" w:hAnsi="仿宋_GB2312" w:cs="仿宋_GB2312"/>
          <w:sz w:val="21"/>
          <w:szCs w:val="21"/>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推进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放管服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改革优化营商环境</w:t>
      </w:r>
      <w:r>
        <w:rPr>
          <w:rFonts w:ascii="仿宋_GB2312" w:eastAsia="仿宋_GB2312" w:hAnsi="仿宋_GB2312" w:cs="仿宋_GB2312" w:hint="eastAsia"/>
          <w:sz w:val="32"/>
          <w:szCs w:val="32"/>
        </w:rPr>
        <w:t>有序进行</w:t>
      </w:r>
      <w:r>
        <w:rPr>
          <w:rFonts w:ascii="仿宋_GB2312" w:eastAsia="仿宋_GB2312" w:hAnsi="仿宋_GB2312" w:cs="仿宋_GB2312" w:hint="eastAsia"/>
          <w:sz w:val="32"/>
          <w:szCs w:val="32"/>
        </w:rPr>
        <w:t>;</w:t>
      </w:r>
    </w:p>
    <w:p w:rsidR="005E1906" w:rsidRDefault="007D4208">
      <w:pPr>
        <w:adjustRightInd/>
        <w:snapToGrid/>
        <w:spacing w:after="0" w:line="560" w:lineRule="exact"/>
        <w:ind w:firstLine="640"/>
        <w:rPr>
          <w:rFonts w:ascii="仿宋_GB2312" w:eastAsia="仿宋_GB2312" w:hAnsi="仿宋_GB2312" w:cs="仿宋_GB2312"/>
          <w:sz w:val="24"/>
          <w:szCs w:val="24"/>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加强宣传培训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提高窗口工作人员服务群众能力</w:t>
      </w:r>
      <w:r>
        <w:rPr>
          <w:rFonts w:ascii="仿宋_GB2312" w:eastAsia="仿宋_GB2312" w:hAnsi="仿宋_GB2312" w:cs="仿宋_GB2312" w:hint="eastAsia"/>
          <w:spacing w:val="1"/>
          <w:sz w:val="32"/>
          <w:szCs w:val="32"/>
        </w:rPr>
        <w:t xml:space="preserve">; </w:t>
      </w:r>
    </w:p>
    <w:p w:rsidR="005E1906" w:rsidRDefault="007D4208">
      <w:pPr>
        <w:adjustRightInd/>
        <w:snapToGrid/>
        <w:spacing w:after="0" w:line="560" w:lineRule="exact"/>
        <w:ind w:firstLine="644"/>
        <w:rPr>
          <w:rFonts w:ascii="仿宋_GB2312" w:eastAsia="仿宋_GB2312" w:hAnsi="仿宋_GB2312" w:cs="仿宋_GB2312"/>
          <w:sz w:val="24"/>
          <w:szCs w:val="24"/>
        </w:rPr>
      </w:pPr>
      <w:r>
        <w:rPr>
          <w:rFonts w:ascii="仿宋_GB2312" w:eastAsia="仿宋_GB2312" w:hAnsi="仿宋_GB2312" w:cs="仿宋_GB2312" w:hint="eastAsia"/>
          <w:spacing w:val="1"/>
          <w:sz w:val="32"/>
          <w:szCs w:val="32"/>
        </w:rPr>
        <w:t>3.</w:t>
      </w:r>
      <w:r>
        <w:rPr>
          <w:rFonts w:ascii="仿宋_GB2312" w:eastAsia="仿宋_GB2312" w:hAnsi="仿宋_GB2312" w:cs="仿宋_GB2312" w:hint="eastAsia"/>
          <w:spacing w:val="1"/>
          <w:sz w:val="32"/>
          <w:szCs w:val="32"/>
        </w:rPr>
        <w:t>提升</w:t>
      </w:r>
      <w:r>
        <w:rPr>
          <w:rFonts w:ascii="仿宋_GB2312" w:eastAsia="仿宋_GB2312" w:hAnsi="仿宋_GB2312" w:cs="仿宋_GB2312" w:hint="eastAsia"/>
          <w:spacing w:val="1"/>
          <w:sz w:val="32"/>
          <w:szCs w:val="32"/>
        </w:rPr>
        <w:t>政务服务大厅</w:t>
      </w:r>
      <w:r>
        <w:rPr>
          <w:rFonts w:ascii="仿宋_GB2312" w:eastAsia="仿宋_GB2312" w:hAnsi="仿宋_GB2312" w:cs="仿宋_GB2312" w:hint="eastAsia"/>
          <w:spacing w:val="1"/>
          <w:sz w:val="32"/>
          <w:szCs w:val="32"/>
        </w:rPr>
        <w:t>运行管理精准性和实效性</w:t>
      </w:r>
      <w:r>
        <w:rPr>
          <w:rFonts w:ascii="仿宋_GB2312" w:eastAsia="仿宋_GB2312" w:hAnsi="仿宋_GB2312" w:cs="仿宋_GB2312" w:hint="eastAsia"/>
          <w:spacing w:val="1"/>
          <w:sz w:val="32"/>
          <w:szCs w:val="32"/>
        </w:rPr>
        <w:t>。</w:t>
      </w:r>
      <w:r>
        <w:rPr>
          <w:rFonts w:ascii="仿宋_GB2312" w:eastAsia="仿宋_GB2312" w:hAnsi="仿宋_GB2312" w:cs="仿宋_GB2312" w:hint="eastAsia"/>
          <w:spacing w:val="1"/>
          <w:sz w:val="32"/>
          <w:szCs w:val="32"/>
        </w:rPr>
        <w:t xml:space="preserve"> </w:t>
      </w:r>
    </w:p>
    <w:p w:rsidR="005E1906" w:rsidRDefault="007D4208">
      <w:pPr>
        <w:adjustRightInd/>
        <w:snapToGrid/>
        <w:spacing w:after="0" w:line="560" w:lineRule="exact"/>
        <w:ind w:firstLine="480"/>
        <w:jc w:val="both"/>
        <w:rPr>
          <w:rFonts w:ascii="黑体" w:eastAsia="黑体" w:hAnsi="黑体" w:cs="黑体"/>
          <w:sz w:val="21"/>
          <w:szCs w:val="21"/>
        </w:rPr>
      </w:pPr>
      <w:r>
        <w:rPr>
          <w:rFonts w:ascii="黑体" w:eastAsia="黑体" w:hAnsi="黑体" w:cs="黑体" w:hint="eastAsia"/>
          <w:sz w:val="32"/>
          <w:szCs w:val="32"/>
        </w:rPr>
        <w:t>三、综合评价情况及评价结论</w:t>
      </w:r>
    </w:p>
    <w:p w:rsidR="005E1906" w:rsidRDefault="007D4208">
      <w:pPr>
        <w:adjustRightInd/>
        <w:snapToGrid/>
        <w:spacing w:after="0" w:line="560" w:lineRule="exact"/>
        <w:ind w:firstLine="640"/>
        <w:jc w:val="both"/>
        <w:rPr>
          <w:rFonts w:ascii="仿宋_GB2312" w:eastAsia="仿宋_GB2312" w:hAnsi="仿宋_GB2312" w:cs="仿宋_GB2312"/>
          <w:sz w:val="21"/>
          <w:szCs w:val="21"/>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年我单位专项资金项目总体评价是：专项工作科学合理，管理规范，服务到位，整体完成较好，运行保障有力，取得良好的社会效益和经济效益。</w:t>
      </w:r>
    </w:p>
    <w:p w:rsidR="005E1906" w:rsidRDefault="007D4208">
      <w:pPr>
        <w:adjustRightInd/>
        <w:snapToGrid/>
        <w:spacing w:after="0" w:line="560" w:lineRule="exact"/>
        <w:ind w:firstLine="640"/>
        <w:jc w:val="both"/>
        <w:rPr>
          <w:rFonts w:ascii="黑体" w:eastAsia="黑体" w:hAnsi="黑体" w:cs="黑体"/>
          <w:sz w:val="21"/>
          <w:szCs w:val="21"/>
        </w:rPr>
      </w:pPr>
      <w:r>
        <w:rPr>
          <w:rFonts w:ascii="黑体" w:eastAsia="黑体" w:hAnsi="黑体" w:cs="黑体" w:hint="eastAsia"/>
          <w:sz w:val="32"/>
          <w:szCs w:val="32"/>
        </w:rPr>
        <w:t>四、存在的问题和建议</w:t>
      </w:r>
    </w:p>
    <w:p w:rsidR="005E1906" w:rsidRDefault="007D4208">
      <w:pPr>
        <w:adjustRightInd/>
        <w:snapToGrid/>
        <w:spacing w:after="0" w:line="560" w:lineRule="exact"/>
        <w:ind w:firstLineChars="200" w:firstLine="640"/>
        <w:jc w:val="both"/>
        <w:rPr>
          <w:rFonts w:ascii="仿宋_GB2312" w:eastAsia="仿宋_GB2312" w:hAnsi="仿宋_GB2312" w:cs="仿宋_GB2312"/>
          <w:sz w:val="21"/>
          <w:szCs w:val="21"/>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存在的问题</w:t>
      </w:r>
    </w:p>
    <w:p w:rsidR="005E1906" w:rsidRDefault="007D4208">
      <w:pPr>
        <w:spacing w:after="0" w:line="560" w:lineRule="exact"/>
        <w:ind w:firstLineChars="200" w:firstLine="640"/>
        <w:rPr>
          <w:rFonts w:ascii="仿宋_GB2312" w:eastAsia="仿宋_GB2312" w:hAnsi="仿宋_GB2312" w:cs="仿宋_GB2312"/>
          <w:sz w:val="21"/>
          <w:szCs w:val="21"/>
        </w:rPr>
      </w:pPr>
      <w:r>
        <w:rPr>
          <w:rFonts w:ascii="仿宋_GB2312" w:eastAsia="仿宋_GB2312" w:hAnsi="仿宋_GB2312" w:cs="仿宋_GB2312" w:hint="eastAsia"/>
          <w:sz w:val="32"/>
          <w:szCs w:val="32"/>
        </w:rPr>
        <w:t>政务服务</w:t>
      </w:r>
      <w:r>
        <w:rPr>
          <w:rFonts w:ascii="仿宋_GB2312" w:eastAsia="仿宋_GB2312" w:hAnsi="仿宋_GB2312" w:cs="仿宋_GB2312" w:hint="eastAsia"/>
          <w:sz w:val="32"/>
          <w:szCs w:val="32"/>
        </w:rPr>
        <w:t>效能</w:t>
      </w:r>
      <w:r>
        <w:rPr>
          <w:rFonts w:ascii="仿宋_GB2312" w:eastAsia="仿宋_GB2312" w:hAnsi="仿宋_GB2312" w:cs="仿宋_GB2312" w:hint="eastAsia"/>
          <w:sz w:val="32"/>
          <w:szCs w:val="32"/>
        </w:rPr>
        <w:t>有待进一步提高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全程网办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还未实现。</w:t>
      </w:r>
      <w:r>
        <w:rPr>
          <w:rFonts w:ascii="华文楷体" w:eastAsia="华文楷体" w:hAnsi="华文楷体" w:cs="华文楷体" w:hint="eastAsia"/>
          <w:sz w:val="32"/>
          <w:szCs w:val="32"/>
        </w:rPr>
        <w:t>基层政务服务还需提质增效</w:t>
      </w:r>
    </w:p>
    <w:p w:rsidR="005E1906" w:rsidRDefault="007D4208">
      <w:pPr>
        <w:adjustRightInd/>
        <w:snapToGrid/>
        <w:spacing w:after="0" w:line="560" w:lineRule="exact"/>
        <w:ind w:firstLineChars="200" w:firstLine="640"/>
        <w:jc w:val="both"/>
        <w:rPr>
          <w:rFonts w:ascii="仿宋_GB2312" w:eastAsia="仿宋_GB2312" w:hAnsi="仿宋_GB2312" w:cs="仿宋_GB2312"/>
          <w:sz w:val="21"/>
          <w:szCs w:val="21"/>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意见建议</w:t>
      </w:r>
    </w:p>
    <w:p w:rsidR="005E1906" w:rsidRDefault="007D4208">
      <w:pPr>
        <w:adjustRightInd/>
        <w:snapToGrid/>
        <w:spacing w:after="0" w:line="560" w:lineRule="exact"/>
        <w:ind w:firstLine="640"/>
        <w:jc w:val="both"/>
        <w:rPr>
          <w:rFonts w:ascii="仿宋_GB2312" w:eastAsia="仿宋_GB2312" w:hAnsi="仿宋_GB2312" w:cs="仿宋_GB2312"/>
          <w:sz w:val="21"/>
          <w:szCs w:val="21"/>
        </w:rPr>
      </w:pPr>
      <w:r>
        <w:rPr>
          <w:rFonts w:ascii="仿宋_GB2312" w:eastAsia="仿宋_GB2312" w:hAnsi="仿宋_GB2312" w:cs="仿宋_GB2312" w:hint="eastAsia"/>
          <w:color w:val="000000" w:themeColor="text1"/>
          <w:sz w:val="32"/>
          <w:szCs w:val="32"/>
        </w:rPr>
        <w:t>优化升级政务服务平台建设，加快政务服务平台对接应用。进一步</w:t>
      </w:r>
      <w:r>
        <w:rPr>
          <w:rFonts w:ascii="仿宋_GB2312" w:eastAsia="仿宋_GB2312" w:hAnsi="仿宋_GB2312" w:cs="仿宋_GB2312" w:hint="eastAsia"/>
          <w:sz w:val="32"/>
          <w:szCs w:val="32"/>
        </w:rPr>
        <w:t>加大大厅硬软件设施投入和人员培训，提高政务服务管理水平。</w:t>
      </w:r>
    </w:p>
    <w:sectPr w:rsidR="005E1906" w:rsidSect="005E190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208" w:rsidRDefault="007D4208">
      <w:r>
        <w:separator/>
      </w:r>
    </w:p>
  </w:endnote>
  <w:endnote w:type="continuationSeparator" w:id="0">
    <w:p w:rsidR="007D4208" w:rsidRDefault="007D42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微软雅黑">
    <w:charset w:val="86"/>
    <w:family w:val="swiss"/>
    <w:pitch w:val="default"/>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方正小标宋简体">
    <w:altName w:val="hakuyoxingshu7000"/>
    <w:charset w:val="86"/>
    <w:family w:val="auto"/>
    <w:pitch w:val="default"/>
    <w:sig w:usb0="00000000"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楷体">
    <w:altName w:val="hakuyoxingshu7000"/>
    <w:charset w:val="86"/>
    <w:family w:val="auto"/>
    <w:pitch w:val="default"/>
    <w:sig w:usb0="00000000" w:usb1="080F0000" w:usb2="00000000" w:usb3="00000000" w:csb0="0004009F" w:csb1="DFD70000"/>
  </w:font>
  <w:font w:name="楷体">
    <w:altName w:val="宋体"/>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208" w:rsidRDefault="007D4208">
      <w:pPr>
        <w:spacing w:after="0"/>
      </w:pPr>
      <w:r>
        <w:separator/>
      </w:r>
    </w:p>
  </w:footnote>
  <w:footnote w:type="continuationSeparator" w:id="0">
    <w:p w:rsidR="007D4208" w:rsidRDefault="007D420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noPunctuationKerning/>
  <w:characterSpacingControl w:val="doNotCompress"/>
  <w:footnotePr>
    <w:footnote w:id="-1"/>
    <w:footnote w:id="0"/>
  </w:footnotePr>
  <w:endnotePr>
    <w:endnote w:id="-1"/>
    <w:endnote w:id="0"/>
  </w:endnotePr>
  <w:compat>
    <w:doNotExpandShiftReturn/>
    <w:useFELayout/>
  </w:compat>
  <w:rsids>
    <w:rsidRoot w:val="00D31D50"/>
    <w:rsid w:val="000158FA"/>
    <w:rsid w:val="00323B43"/>
    <w:rsid w:val="003D37D8"/>
    <w:rsid w:val="00426133"/>
    <w:rsid w:val="004358AB"/>
    <w:rsid w:val="005E1906"/>
    <w:rsid w:val="007D4208"/>
    <w:rsid w:val="008B7726"/>
    <w:rsid w:val="009655D4"/>
    <w:rsid w:val="00A73C2A"/>
    <w:rsid w:val="00D31D50"/>
    <w:rsid w:val="00DF12A0"/>
    <w:rsid w:val="284819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E1906"/>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5E1906"/>
    <w:pPr>
      <w:ind w:firstLineChars="200" w:firstLine="420"/>
    </w:pPr>
    <w:rPr>
      <w:rFonts w:ascii="Times New Roman" w:eastAsia="仿宋_GB2312" w:hAnsi="Times New Roman"/>
    </w:rPr>
  </w:style>
  <w:style w:type="paragraph" w:styleId="a3">
    <w:name w:val="Body Text Indent"/>
    <w:basedOn w:val="a"/>
    <w:qFormat/>
    <w:rsid w:val="005E1906"/>
    <w:pPr>
      <w:ind w:leftChars="200" w:left="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2021-09-30T00:46:00Z</cp:lastPrinted>
  <dcterms:created xsi:type="dcterms:W3CDTF">2022-09-05T07:01:00Z</dcterms:created>
  <dcterms:modified xsi:type="dcterms:W3CDTF">2022-09-05T07:01:00Z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CA6A0BA92FEC420C8CB4F6387A3A4B91</vt:lpwstr>
  </property>
</Properties>
</file>