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98" w:rsidRDefault="00060698" w:rsidP="00060698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EE72BC">
        <w:rPr>
          <w:rFonts w:ascii="方正小标宋简体" w:eastAsia="方正小标宋简体" w:hAnsi="黑体" w:hint="eastAsia"/>
          <w:sz w:val="32"/>
          <w:szCs w:val="32"/>
        </w:rPr>
        <w:t>沅江市文学艺术界联合会</w:t>
      </w:r>
      <w:r>
        <w:rPr>
          <w:rFonts w:ascii="方正小标宋简体" w:eastAsia="方正小标宋简体" w:hAnsi="黑体" w:hint="eastAsia"/>
          <w:sz w:val="32"/>
          <w:szCs w:val="32"/>
        </w:rPr>
        <w:t>2020年</w:t>
      </w:r>
      <w:r w:rsidRPr="00EE72BC">
        <w:rPr>
          <w:rFonts w:ascii="方正小标宋简体" w:eastAsia="方正小标宋简体" w:hAnsi="黑体" w:hint="eastAsia"/>
          <w:sz w:val="32"/>
          <w:szCs w:val="32"/>
        </w:rPr>
        <w:t>度整体支出绩效自评报告</w:t>
      </w:r>
    </w:p>
    <w:p w:rsidR="00060698" w:rsidRDefault="00060698" w:rsidP="00060698">
      <w:pPr>
        <w:rPr>
          <w:rFonts w:ascii="方正小标宋简体" w:eastAsia="方正小标宋简体" w:hAnsi="黑体"/>
          <w:sz w:val="28"/>
          <w:szCs w:val="28"/>
        </w:rPr>
      </w:pPr>
    </w:p>
    <w:p w:rsidR="00060698" w:rsidRDefault="00060698" w:rsidP="00060698">
      <w:pPr>
        <w:pStyle w:val="a3"/>
        <w:numPr>
          <w:ilvl w:val="0"/>
          <w:numId w:val="1"/>
        </w:numPr>
        <w:ind w:firstLineChars="0"/>
        <w:rPr>
          <w:rFonts w:ascii="方正小标宋简体" w:eastAsia="方正小标宋简体" w:hAnsi="黑体"/>
          <w:sz w:val="28"/>
          <w:szCs w:val="28"/>
        </w:rPr>
      </w:pPr>
      <w:r w:rsidRPr="00F6714F">
        <w:rPr>
          <w:rFonts w:ascii="方正小标宋简体" w:eastAsia="方正小标宋简体" w:hAnsi="黑体" w:hint="eastAsia"/>
          <w:sz w:val="28"/>
          <w:szCs w:val="28"/>
        </w:rPr>
        <w:t>部门基本情况</w:t>
      </w:r>
    </w:p>
    <w:p w:rsidR="00060698" w:rsidRPr="00736488" w:rsidRDefault="00060698" w:rsidP="00060698">
      <w:pPr>
        <w:rPr>
          <w:rFonts w:ascii="仿宋" w:eastAsia="仿宋" w:hAnsi="仿宋"/>
          <w:b/>
          <w:bCs/>
          <w:sz w:val="32"/>
          <w:szCs w:val="32"/>
        </w:rPr>
      </w:pPr>
      <w:r w:rsidRPr="00736488">
        <w:rPr>
          <w:rFonts w:ascii="仿宋" w:eastAsia="仿宋" w:hAnsi="仿宋" w:hint="eastAsia"/>
          <w:b/>
          <w:bCs/>
          <w:sz w:val="32"/>
          <w:szCs w:val="32"/>
        </w:rPr>
        <w:t>（一）机构设置情况</w:t>
      </w:r>
    </w:p>
    <w:p w:rsidR="00060698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沅江市文学艺术界联合会为市级财政一级预算单位，</w:t>
      </w:r>
      <w:r w:rsidRPr="00B924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内设股室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B924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个，所属事业单位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B924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个，二级机构0个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（二）人员情况</w:t>
      </w:r>
    </w:p>
    <w:p w:rsidR="00060698" w:rsidRDefault="00060698" w:rsidP="00060698">
      <w:pPr>
        <w:spacing w:line="520" w:lineRule="atLeast"/>
        <w:ind w:firstLine="42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截止202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年12月，我单位纳入部门决算编制5人。其中：实有在职人员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人，离退休人员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人。</w:t>
      </w:r>
    </w:p>
    <w:p w:rsidR="00060698" w:rsidRPr="00736488" w:rsidRDefault="00060698" w:rsidP="00060698">
      <w:pPr>
        <w:spacing w:line="520" w:lineRule="atLeast"/>
        <w:jc w:val="left"/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736488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（三）主要工作职责</w:t>
      </w:r>
    </w:p>
    <w:p w:rsidR="00060698" w:rsidRDefault="00060698" w:rsidP="00060698">
      <w:pPr>
        <w:spacing w:line="520" w:lineRule="atLeast"/>
        <w:ind w:firstLine="645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8826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文联其主要职责是贯彻落实党的文艺方针，组织、引导文艺工作者学习党的文艺理论；对全市文艺家协会进行指导、协调、联络、服务工作，组织文艺工作者开展文艺活动；发现和培养文艺人才；表彰、奖励优秀工作者和优秀作品；主办文艺期刊；开展文学艺术领域的学术研讨与交流；维护文艺工作者和文艺团体的合法权益。</w:t>
      </w:r>
    </w:p>
    <w:p w:rsidR="00060698" w:rsidRDefault="00060698" w:rsidP="00060698">
      <w:pPr>
        <w:pStyle w:val="a3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eastAsia="方正小标宋简体" w:hAnsi="仿宋"/>
          <w:color w:val="000000"/>
          <w:sz w:val="28"/>
          <w:szCs w:val="28"/>
          <w:shd w:val="clear" w:color="auto" w:fill="FFFFFF"/>
        </w:rPr>
      </w:pPr>
      <w:r w:rsidRPr="0088261F">
        <w:rPr>
          <w:rFonts w:ascii="方正小标宋简体" w:eastAsia="方正小标宋简体" w:hAnsi="仿宋" w:hint="eastAsia"/>
          <w:color w:val="000000"/>
          <w:sz w:val="28"/>
          <w:szCs w:val="28"/>
          <w:shd w:val="clear" w:color="auto" w:fill="FFFFFF"/>
        </w:rPr>
        <w:t>部门整体支出管理及使用情况</w:t>
      </w:r>
    </w:p>
    <w:p w:rsidR="00060698" w:rsidRPr="00736488" w:rsidRDefault="00060698" w:rsidP="00060698">
      <w:pPr>
        <w:spacing w:line="520" w:lineRule="atLeast"/>
        <w:jc w:val="left"/>
        <w:rPr>
          <w:rFonts w:ascii="仿宋" w:eastAsia="仿宋" w:hAnsi="仿宋"/>
          <w:b/>
          <w:bCs/>
          <w:sz w:val="32"/>
          <w:szCs w:val="32"/>
        </w:rPr>
      </w:pPr>
      <w:r w:rsidRPr="00736488">
        <w:rPr>
          <w:rFonts w:ascii="仿宋" w:eastAsia="仿宋" w:hAnsi="仿宋" w:hint="eastAsia"/>
          <w:b/>
          <w:bCs/>
          <w:sz w:val="32"/>
          <w:szCs w:val="32"/>
        </w:rPr>
        <w:t>（一）基本支出的管理和使用情况</w:t>
      </w:r>
    </w:p>
    <w:p w:rsidR="00060698" w:rsidRPr="00AD53C6" w:rsidRDefault="00060698" w:rsidP="00060698">
      <w:pPr>
        <w:spacing w:line="520" w:lineRule="atLeast"/>
        <w:ind w:firstLineChars="200" w:firstLine="56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Pr="00AD53C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1、我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单位</w:t>
      </w:r>
      <w:r w:rsidRPr="00AD53C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基本支出主要用于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全体工作</w:t>
      </w:r>
      <w:r w:rsidRPr="00AD53C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员的基本工资、津补贴奖金、社会保障费、离退休费、抚恤金、住房公积金等人员经费支出和办公费、印刷费、水电费、邮电费、差旅费、委托业务费、会议费、培训费、工会经费、公务接待费、公车运行维护费等基本的公用经费支出。基本支出坚持“保</w:t>
      </w:r>
      <w:r w:rsidRPr="00AD53C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工资、保运转”的原则，坚持勤俭节约，反对铺张浪费，按照市委市政府的相关要求，人员经费支出都严格按照有关部门的规定执行，公用经费严格按照《沅江市行政事业单位公务接待管理办法》、《沅江市行政事业单位差旅费管理办法》等相关制度执行，大力压缩一般性支出，进一步降低行政运行成本。</w:t>
      </w:r>
    </w:p>
    <w:p w:rsidR="00060698" w:rsidRPr="00AD53C6" w:rsidRDefault="00060698" w:rsidP="00060698">
      <w:pPr>
        <w:spacing w:line="52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2、年初总预算收支情况</w:t>
      </w:r>
    </w:p>
    <w:p w:rsidR="00060698" w:rsidRPr="00AD53C6" w:rsidRDefault="00060698" w:rsidP="00060698">
      <w:pPr>
        <w:spacing w:line="52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2020年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，我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单位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财政拨款预算收入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142.93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万元，其中，财政经费拨款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142.93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 xml:space="preserve"> 万元。财政拨款预算支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出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128.44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万元，其中，基本支出预算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93.33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万元，</w:t>
      </w:r>
      <w:r w:rsidRPr="00AD53C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项目支出预算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35.12</w:t>
      </w: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万元。</w:t>
      </w:r>
    </w:p>
    <w:p w:rsidR="00060698" w:rsidRPr="00AD53C6" w:rsidRDefault="00060698" w:rsidP="00060698">
      <w:pPr>
        <w:spacing w:line="52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3、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年度预算收入决算情况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2020年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，我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本年收入决算数为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152.93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万元，其中，一般公共预算财政拨款收入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142.93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万元，政府性基金预算财政拨款收入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万元，其他收入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万元。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、年度预算支出决算及结余情况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2020年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，我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预算支出决算数为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128.44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万元， </w:t>
      </w:r>
    </w:p>
    <w:p w:rsidR="00060698" w:rsidRPr="00AD53C6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2020年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，我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当年结余0万元，主要原因是按照财政最新要求，年末结余统一收回。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、本年“三公经费”预算情况</w:t>
      </w:r>
    </w:p>
    <w:p w:rsidR="00060698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0D76">
        <w:rPr>
          <w:rFonts w:ascii="仿宋" w:eastAsia="仿宋" w:hAnsi="仿宋" w:cs="宋体"/>
          <w:color w:val="000000"/>
          <w:kern w:val="0"/>
          <w:sz w:val="32"/>
          <w:szCs w:val="32"/>
        </w:rPr>
        <w:t>2020年度“三公”经费财政拨款支出预算数为0.622万元，支出决算数为0.622万元,完成预算的100%，决算数小于预算数的主要原因是认真贯彻落实中央“八项规定”精神和厉行节约要求，从严控制“三公”经费开支，全年实际支出比预算有所节约。</w:t>
      </w:r>
    </w:p>
    <w:p w:rsidR="00060698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6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、“三公经费”预算执行情况及与上年比较情况</w:t>
      </w:r>
    </w:p>
    <w:p w:rsidR="00060698" w:rsidRDefault="00060698" w:rsidP="00060698">
      <w:pPr>
        <w:snapToGrid w:val="0"/>
        <w:spacing w:line="520" w:lineRule="exact"/>
        <w:rPr>
          <w:rFonts w:ascii="仿宋" w:eastAsia="仿宋" w:hAnsi="仿宋"/>
          <w:sz w:val="32"/>
        </w:rPr>
      </w:pPr>
      <w:r w:rsidRPr="00BE0D76">
        <w:rPr>
          <w:rFonts w:ascii="仿宋" w:eastAsia="仿宋" w:hAnsi="仿宋"/>
          <w:sz w:val="32"/>
        </w:rPr>
        <w:t>020年度“三公”经费财政拨款支出决算中，具体情况如下：公务接待费决算数为0.622万元，占100%。公务接待60批次180人次。2020年“三公”经费决算比2019年减少1.98万元，我单位按照中央、省委、省政府等要求，厉行节约，继续严控“三公”经费。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(二)专项支出的管理和使用情况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1、专项资金安排落实、总体投入情况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2020年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，按照本年预算，本级财政安排我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单位协会活动、杂志编印项目专项金额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35.12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，这些资金在本年度内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已全部落实到位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</w:p>
    <w:p w:rsidR="00060698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2、专项资金实际使用情况</w:t>
      </w:r>
    </w:p>
    <w:p w:rsidR="00060698" w:rsidRPr="00301B40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2020年我单位项目支出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35.12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</w:t>
      </w:r>
      <w:r w:rsidRPr="00301B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按部门预算经济分类</w:t>
      </w:r>
      <w:r w:rsidRPr="00301B40">
        <w:rPr>
          <w:rFonts w:ascii="仿宋" w:eastAsia="仿宋" w:hAnsi="仿宋" w:cs="宋体"/>
          <w:color w:val="000000"/>
          <w:kern w:val="0"/>
          <w:sz w:val="32"/>
          <w:szCs w:val="32"/>
        </w:rPr>
        <w:t>商品和服务支出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35.12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3、专项资金管理情况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为规范专项资金管理，我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台了一系列管理制度，建立了专项资金管理办法，每笔专项资金严格遵循专款专用、独立核算的管理原则，项目的申报也严格按照省和市财政资金管理的要求进行，专项资金财政拨款到位后及时进行了项目开展和资金投入。目前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对专项资金的管理按照项目支出涉及的经济科目规定，根据财务管理办法的相关制度执行。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三、部门专项组织实施情况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(一)专项组织情况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凡涉及重大项目的，我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都按规定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走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流程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(二)专项资金管理情况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所有专项资金都按专款专用的原则，加强了资金的管理。建立了以项目建设为核心，以绩效评价为资金分配的专项资金管理制度，严格支出审批报销程序，做到了无虚列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AD53C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套取、无截留、挤占、挪用、专项资金。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四、存在的问题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、绩效评价内容不完善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2、缺乏科学、完善的项目支出绩效评价</w:t>
      </w:r>
    </w:p>
    <w:p w:rsidR="00060698" w:rsidRPr="00736488" w:rsidRDefault="00060698" w:rsidP="00060698">
      <w:pPr>
        <w:snapToGrid w:val="0"/>
        <w:spacing w:line="520" w:lineRule="exac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364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五、改进措施及有关建议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1、及时与上级部门沟通，确保专项资金及时拨付到位。</w:t>
      </w:r>
    </w:p>
    <w:p w:rsidR="00060698" w:rsidRPr="00AD53C6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2、按照“谁使用、谁申报”的原则，加强资金使用部门绩效评价意识，细化绩效目标，提高绩效评价工作的操作性。</w:t>
      </w:r>
    </w:p>
    <w:p w:rsidR="00060698" w:rsidRDefault="00060698" w:rsidP="00060698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D53C6">
        <w:rPr>
          <w:rFonts w:ascii="仿宋" w:eastAsia="仿宋" w:hAnsi="仿宋" w:cs="宋体"/>
          <w:color w:val="000000"/>
          <w:kern w:val="0"/>
          <w:sz w:val="32"/>
          <w:szCs w:val="32"/>
        </w:rPr>
        <w:t>3、加强对各部门和相关人员在财政资金专项支出绩效管理方面的培训，提升单位专项资金绩效管理水平。</w:t>
      </w: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沅江市文学艺术界联合会</w:t>
      </w: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                     2021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060698" w:rsidRDefault="00060698" w:rsidP="00060698">
      <w:pPr>
        <w:snapToGrid w:val="0"/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C197F" w:rsidRDefault="00FC197F">
      <w:pPr>
        <w:rPr>
          <w:rFonts w:hint="eastAsia"/>
        </w:rPr>
      </w:pPr>
    </w:p>
    <w:sectPr w:rsidR="00FC197F" w:rsidSect="00FC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90652"/>
    <w:multiLevelType w:val="hybridMultilevel"/>
    <w:tmpl w:val="1B4EFF52"/>
    <w:lvl w:ilvl="0" w:tplc="89945A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0698"/>
    <w:rsid w:val="00060698"/>
    <w:rsid w:val="00FC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2022-09-05T08:31:00Z</dcterms:created>
  <dcterms:modified xsi:type="dcterms:W3CDTF">2022-09-05T08:31:00Z</dcterms:modified>
</cp:coreProperties>
</file>