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4" w:lineRule="atLeast"/>
        <w:ind w:left="0" w:right="0"/>
        <w:jc w:val="center"/>
        <w:rPr>
          <w:b w:val="0"/>
          <w:i w:val="0"/>
          <w:color w:val="0466C7"/>
          <w:sz w:val="33"/>
          <w:szCs w:val="33"/>
        </w:rPr>
      </w:pPr>
      <w:r>
        <w:rPr>
          <w:b w:val="0"/>
          <w:i w:val="0"/>
          <w:caps w:val="0"/>
          <w:color w:val="0466C7"/>
          <w:spacing w:val="0"/>
          <w:sz w:val="33"/>
          <w:szCs w:val="33"/>
          <w:bdr w:val="none" w:color="auto" w:sz="0" w:space="0"/>
        </w:rPr>
        <w:t>沅江市四季红镇人民政府2020年度整体支出绩效评价报告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420"/>
        <w:jc w:val="left"/>
      </w:pPr>
      <w:bookmarkStart w:id="0" w:name="_GoBack"/>
      <w:bookmarkEnd w:id="0"/>
      <w:r>
        <w:rPr>
          <w:rFonts w:ascii="仿宋" w:hAnsi="仿宋" w:eastAsia="仿宋" w:cs="仿宋"/>
          <w:b/>
          <w:i w:val="0"/>
          <w:caps w:val="0"/>
          <w:color w:val="000000"/>
          <w:spacing w:val="0"/>
          <w:kern w:val="0"/>
          <w:sz w:val="36"/>
          <w:szCs w:val="36"/>
          <w:bdr w:val="none" w:color="auto" w:sz="0" w:space="0"/>
          <w:shd w:val="clear" w:fill="FFFFFF"/>
          <w:lang w:val="en-US" w:eastAsia="zh-CN" w:bidi="ar"/>
        </w:rPr>
        <w:t>一、单位基本情况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707"/>
        <w:jc w:val="left"/>
      </w:pPr>
      <w:r>
        <w:rPr>
          <w:rFonts w:hint="eastAsia" w:ascii="仿宋" w:hAnsi="仿宋" w:eastAsia="仿宋" w:cs="仿宋"/>
          <w:b w:val="0"/>
          <w:i w:val="0"/>
          <w:caps w:val="0"/>
          <w:color w:val="898989"/>
          <w:spacing w:val="0"/>
          <w:kern w:val="0"/>
          <w:sz w:val="32"/>
          <w:szCs w:val="32"/>
          <w:bdr w:val="none" w:color="auto" w:sz="0" w:space="0"/>
          <w:lang w:val="en-US" w:eastAsia="zh-CN" w:bidi="ar"/>
        </w:rPr>
        <w:t>（一）机构设置情况：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宋体" w:hAnsi="宋体" w:eastAsia="宋体" w:cs="宋体"/>
          <w:b w:val="0"/>
          <w:i w:val="0"/>
          <w:caps w:val="0"/>
          <w:color w:val="898989"/>
          <w:spacing w:val="0"/>
          <w:kern w:val="0"/>
          <w:sz w:val="32"/>
          <w:szCs w:val="32"/>
          <w:bdr w:val="none" w:color="auto" w:sz="0" w:space="0"/>
          <w:lang w:val="en-US" w:eastAsia="zh-CN" w:bidi="ar"/>
        </w:rPr>
        <w:t>四季红镇人民政府是国家最基层的政权机关和最基本的独立行政单元，具有执行国家意志的义务和保一方平安的责任，有促进地区经济发展，提供公共服务的职能。政府内设党政办、扶贫办、党建站、民政所、村镇建设站、劳保办、经发办、财政所、纪委、司法所、安监站、卫计办、文体卫站、农业综合服务站、退役军人服务站、国土规划建设环保所等二级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65"/>
        <w:jc w:val="left"/>
      </w:pPr>
      <w:r>
        <w:rPr>
          <w:rFonts w:hint="eastAsia" w:ascii="仿宋" w:hAnsi="仿宋" w:eastAsia="仿宋" w:cs="仿宋"/>
          <w:b w:val="0"/>
          <w:i w:val="0"/>
          <w:caps w:val="0"/>
          <w:color w:val="898989"/>
          <w:spacing w:val="0"/>
          <w:kern w:val="0"/>
          <w:sz w:val="32"/>
          <w:szCs w:val="32"/>
          <w:bdr w:val="none" w:color="auto" w:sz="0" w:space="0"/>
          <w:lang w:val="en-US" w:eastAsia="zh-CN" w:bidi="ar"/>
        </w:rPr>
        <w:t>（二）人员情况：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宋体" w:hAnsi="宋体" w:eastAsia="宋体" w:cs="宋体"/>
          <w:b w:val="0"/>
          <w:i w:val="0"/>
          <w:caps w:val="0"/>
          <w:color w:val="898989"/>
          <w:spacing w:val="0"/>
          <w:kern w:val="0"/>
          <w:sz w:val="32"/>
          <w:szCs w:val="32"/>
          <w:bdr w:val="none" w:color="auto" w:sz="0" w:space="0"/>
          <w:lang w:val="en-US" w:eastAsia="zh-CN" w:bidi="ar"/>
        </w:rPr>
        <w:t>沅江市四季红镇人民政府是财政全额拨款单位，目前实有在职人员57人。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65"/>
        <w:jc w:val="left"/>
      </w:pPr>
      <w:r>
        <w:rPr>
          <w:rFonts w:hint="eastAsia" w:ascii="仿宋" w:hAnsi="仿宋" w:eastAsia="仿宋" w:cs="仿宋"/>
          <w:b w:val="0"/>
          <w:i w:val="0"/>
          <w:caps w:val="0"/>
          <w:color w:val="898989"/>
          <w:spacing w:val="0"/>
          <w:kern w:val="0"/>
          <w:sz w:val="32"/>
          <w:szCs w:val="32"/>
          <w:bdr w:val="none" w:color="auto" w:sz="0" w:space="0"/>
          <w:lang w:val="en-US" w:eastAsia="zh-CN" w:bidi="ar"/>
        </w:rPr>
        <w:t>（三）主要工作职责：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宋体" w:hAnsi="宋体" w:eastAsia="宋体" w:cs="宋体"/>
          <w:b w:val="0"/>
          <w:i w:val="0"/>
          <w:caps w:val="0"/>
          <w:color w:val="898989"/>
          <w:spacing w:val="0"/>
          <w:kern w:val="0"/>
          <w:sz w:val="32"/>
          <w:szCs w:val="32"/>
          <w:bdr w:val="none" w:color="auto" w:sz="0" w:space="0"/>
          <w:lang w:val="en-US" w:eastAsia="zh-CN" w:bidi="ar"/>
        </w:rPr>
        <w:t>四季红镇人民政府是国家最基层的政权机关和最基本的独立行政单元，具有执行国家意志的义务和保一方平安的责任，有促进地区经济发展，提供公共服务的职能。制定并组织实施村镇建设规划、部署重点村镇工程，制定资源开发改造和产业机构调整法案，组织并指导生产，负责本行政区域内民政，计划生育，经管，文化教育等工作，按照组织本级财政收入，完成国家财政计划，管理好财政资金，增强财政实力，抓好精神文明建设，丰富群众文化生活，提倡移风易俗，完成上级政府交代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32" w:lineRule="atLeast"/>
        <w:ind w:left="0" w:right="0" w:firstLine="420"/>
      </w:pPr>
      <w:r>
        <w:rPr>
          <w:rFonts w:hint="eastAsia" w:ascii="仿宋" w:hAnsi="仿宋" w:eastAsia="仿宋" w:cs="仿宋"/>
          <w:b/>
          <w:i w:val="0"/>
          <w:caps w:val="0"/>
          <w:color w:val="898989"/>
          <w:spacing w:val="0"/>
          <w:sz w:val="36"/>
          <w:szCs w:val="36"/>
          <w:bdr w:val="none" w:color="auto" w:sz="0" w:space="0"/>
        </w:rPr>
        <w:t>二、部门整体支出管理及使用情况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67"/>
        <w:jc w:val="left"/>
      </w:pPr>
      <w:r>
        <w:rPr>
          <w:rFonts w:hint="eastAsia" w:ascii="仿宋" w:hAnsi="仿宋" w:eastAsia="仿宋" w:cs="仿宋"/>
          <w:b w:val="0"/>
          <w:i w:val="0"/>
          <w:caps w:val="0"/>
          <w:color w:val="898989"/>
          <w:spacing w:val="0"/>
          <w:kern w:val="0"/>
          <w:sz w:val="32"/>
          <w:szCs w:val="32"/>
          <w:bdr w:val="none" w:color="auto" w:sz="0" w:space="0"/>
          <w:lang w:val="en-US" w:eastAsia="zh-CN" w:bidi="ar"/>
        </w:rPr>
        <w:t>（一）基本支出的管理和使用情况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宋体" w:hAnsi="宋体" w:eastAsia="宋体" w:cs="宋体"/>
          <w:b w:val="0"/>
          <w:i w:val="0"/>
          <w:caps w:val="0"/>
          <w:color w:val="898989"/>
          <w:spacing w:val="0"/>
          <w:kern w:val="0"/>
          <w:sz w:val="32"/>
          <w:szCs w:val="32"/>
          <w:bdr w:val="none" w:color="auto" w:sz="0" w:space="0"/>
          <w:lang w:val="en-US" w:eastAsia="zh-CN" w:bidi="ar"/>
        </w:rPr>
        <w:t>2020年收入总额6766.4万元，支出总额5592.1万元，期末结转结余1174.3万元。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宋体" w:hAnsi="宋体" w:eastAsia="宋体" w:cs="宋体"/>
          <w:b w:val="0"/>
          <w:i w:val="0"/>
          <w:caps w:val="0"/>
          <w:color w:val="898989"/>
          <w:spacing w:val="0"/>
          <w:kern w:val="0"/>
          <w:sz w:val="32"/>
          <w:szCs w:val="32"/>
          <w:bdr w:val="none" w:color="auto" w:sz="0" w:space="0"/>
          <w:lang w:val="en-US" w:eastAsia="zh-CN" w:bidi="ar"/>
        </w:rPr>
        <w:t>一、收入分析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本年总收入</w:t>
      </w:r>
      <w:r>
        <w:rPr>
          <w:rFonts w:hint="eastAsia" w:ascii="宋体" w:hAnsi="宋体" w:eastAsia="宋体" w:cs="宋体"/>
          <w:b w:val="0"/>
          <w:i w:val="0"/>
          <w:caps w:val="0"/>
          <w:color w:val="898989"/>
          <w:spacing w:val="0"/>
          <w:kern w:val="0"/>
          <w:sz w:val="32"/>
          <w:szCs w:val="32"/>
          <w:bdr w:val="none" w:color="auto" w:sz="0" w:space="0"/>
          <w:lang w:val="en-US" w:eastAsia="zh-CN" w:bidi="ar"/>
        </w:rPr>
        <w:t>6766.4</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万元，其中地方财政一般预算财政拨款收入</w:t>
      </w:r>
      <w:r>
        <w:rPr>
          <w:rFonts w:hint="eastAsia" w:ascii="宋体" w:hAnsi="宋体" w:eastAsia="宋体" w:cs="宋体"/>
          <w:b w:val="0"/>
          <w:i w:val="0"/>
          <w:caps w:val="0"/>
          <w:color w:val="898989"/>
          <w:spacing w:val="0"/>
          <w:kern w:val="0"/>
          <w:sz w:val="32"/>
          <w:szCs w:val="32"/>
          <w:bdr w:val="none" w:color="auto" w:sz="0" w:space="0"/>
          <w:lang w:val="en-US" w:eastAsia="zh-CN" w:bidi="ar"/>
        </w:rPr>
        <w:t>1913.2</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万元，占比</w:t>
      </w:r>
      <w:r>
        <w:rPr>
          <w:rFonts w:hint="eastAsia" w:ascii="宋体" w:hAnsi="宋体" w:eastAsia="宋体" w:cs="宋体"/>
          <w:b w:val="0"/>
          <w:i w:val="0"/>
          <w:caps w:val="0"/>
          <w:color w:val="898989"/>
          <w:spacing w:val="0"/>
          <w:kern w:val="0"/>
          <w:sz w:val="32"/>
          <w:szCs w:val="32"/>
          <w:bdr w:val="none" w:color="auto" w:sz="0" w:space="0"/>
          <w:lang w:val="en-US" w:eastAsia="zh-CN" w:bidi="ar"/>
        </w:rPr>
        <w:t>28.2%</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 ，较上年</w:t>
      </w:r>
      <w:r>
        <w:rPr>
          <w:rFonts w:hint="eastAsia" w:ascii="宋体" w:hAnsi="宋体" w:eastAsia="宋体" w:cs="宋体"/>
          <w:b w:val="0"/>
          <w:i w:val="0"/>
          <w:caps w:val="0"/>
          <w:color w:val="898989"/>
          <w:spacing w:val="0"/>
          <w:kern w:val="0"/>
          <w:sz w:val="32"/>
          <w:szCs w:val="32"/>
          <w:bdr w:val="none" w:color="auto" w:sz="0" w:space="0"/>
          <w:lang w:val="en-US" w:eastAsia="zh-CN" w:bidi="ar"/>
        </w:rPr>
        <w:t>2454.4万</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元减少</w:t>
      </w:r>
      <w:r>
        <w:rPr>
          <w:rFonts w:hint="eastAsia" w:ascii="宋体" w:hAnsi="宋体" w:eastAsia="宋体" w:cs="宋体"/>
          <w:b w:val="0"/>
          <w:i w:val="0"/>
          <w:caps w:val="0"/>
          <w:color w:val="898989"/>
          <w:spacing w:val="0"/>
          <w:kern w:val="0"/>
          <w:sz w:val="32"/>
          <w:szCs w:val="32"/>
          <w:bdr w:val="none" w:color="auto" w:sz="0" w:space="0"/>
          <w:lang w:val="en-US" w:eastAsia="zh-CN" w:bidi="ar"/>
        </w:rPr>
        <w:t>541.2</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万元 ，减少22.1%；政府基金预算财政拨款收入</w:t>
      </w:r>
      <w:r>
        <w:rPr>
          <w:rFonts w:hint="eastAsia" w:ascii="宋体" w:hAnsi="宋体" w:eastAsia="宋体" w:cs="宋体"/>
          <w:b w:val="0"/>
          <w:i w:val="0"/>
          <w:caps w:val="0"/>
          <w:color w:val="000000"/>
          <w:spacing w:val="0"/>
          <w:kern w:val="0"/>
          <w:sz w:val="32"/>
          <w:szCs w:val="32"/>
          <w:bdr w:val="none" w:color="auto" w:sz="0" w:space="0"/>
          <w:lang w:val="en-US" w:eastAsia="zh-CN" w:bidi="ar"/>
        </w:rPr>
        <w:t>2110.2</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万元，占比31.2%，较上年</w:t>
      </w:r>
      <w:r>
        <w:rPr>
          <w:rFonts w:hint="eastAsia" w:ascii="宋体" w:hAnsi="宋体" w:eastAsia="宋体" w:cs="宋体"/>
          <w:b w:val="0"/>
          <w:i w:val="0"/>
          <w:caps w:val="0"/>
          <w:color w:val="000000"/>
          <w:spacing w:val="0"/>
          <w:kern w:val="0"/>
          <w:sz w:val="32"/>
          <w:szCs w:val="32"/>
          <w:bdr w:val="none" w:color="auto" w:sz="0" w:space="0"/>
          <w:lang w:val="en-US" w:eastAsia="zh-CN" w:bidi="ar"/>
        </w:rPr>
        <w:t>614.3</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万元增加1495.9万元增加243.5%；其他收入（非税收入返还）</w:t>
      </w:r>
      <w:r>
        <w:rPr>
          <w:rFonts w:hint="eastAsia" w:ascii="宋体" w:hAnsi="宋体" w:eastAsia="宋体" w:cs="宋体"/>
          <w:b w:val="0"/>
          <w:i w:val="0"/>
          <w:caps w:val="0"/>
          <w:color w:val="000000"/>
          <w:spacing w:val="0"/>
          <w:kern w:val="0"/>
          <w:sz w:val="32"/>
          <w:szCs w:val="32"/>
          <w:bdr w:val="none" w:color="auto" w:sz="0" w:space="0"/>
          <w:lang w:val="en-US" w:eastAsia="zh-CN" w:bidi="ar"/>
        </w:rPr>
        <w:t>2743</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万元，占比40.6 %，较上年</w:t>
      </w:r>
      <w:r>
        <w:rPr>
          <w:rFonts w:hint="eastAsia" w:ascii="宋体" w:hAnsi="宋体" w:eastAsia="宋体" w:cs="宋体"/>
          <w:b w:val="0"/>
          <w:i w:val="0"/>
          <w:caps w:val="0"/>
          <w:color w:val="000000"/>
          <w:spacing w:val="0"/>
          <w:kern w:val="0"/>
          <w:sz w:val="32"/>
          <w:szCs w:val="32"/>
          <w:bdr w:val="none" w:color="auto" w:sz="0" w:space="0"/>
          <w:lang w:val="en-US" w:eastAsia="zh-CN" w:bidi="ar"/>
        </w:rPr>
        <w:t>1351.5</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万元增加</w:t>
      </w:r>
      <w:r>
        <w:rPr>
          <w:rFonts w:hint="eastAsia" w:ascii="宋体" w:hAnsi="宋体" w:eastAsia="宋体" w:cs="宋体"/>
          <w:b w:val="0"/>
          <w:i w:val="0"/>
          <w:caps w:val="0"/>
          <w:color w:val="000000"/>
          <w:spacing w:val="0"/>
          <w:kern w:val="0"/>
          <w:sz w:val="32"/>
          <w:szCs w:val="32"/>
          <w:bdr w:val="none" w:color="auto" w:sz="0" w:space="0"/>
          <w:lang w:val="en-US" w:eastAsia="zh-CN" w:bidi="ar"/>
        </w:rPr>
        <w:t>1391.5</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万元，增加103% ，增减变化的主要原因为上级拨款增加。</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宋体" w:hAnsi="宋体" w:eastAsia="宋体" w:cs="宋体"/>
          <w:b w:val="0"/>
          <w:i w:val="0"/>
          <w:caps w:val="0"/>
          <w:color w:val="898989"/>
          <w:spacing w:val="0"/>
          <w:kern w:val="0"/>
          <w:sz w:val="32"/>
          <w:szCs w:val="32"/>
          <w:bdr w:val="none" w:color="auto" w:sz="0" w:space="0"/>
          <w:lang w:val="en-US" w:eastAsia="zh-CN" w:bidi="ar"/>
        </w:rPr>
        <w:t>二、支出分析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本年总支出为5592.1万元，其中地方财政一般公共预算支出1024万元，占比18.3% ，较上年908.2万元增加115.8万元，增加12.8%；增减变化的主要原因为单位人数变动（一是工资提标;二是人员考入）及单位事权调整，预算跟随调整情况。项目支出4568.1万元，占比81.7%，较上年2489.3万元增加2078.8万元，增加83.5%；增减变化的主要原因为项目数量增加。</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“三公”经费支出情况：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2020年，“三公”经费完成123543.41元，比上年增减1910.41元，上涨1.6%。其中：因公出国（境）费完成0元，比上年增减0元，下降0%；公务接待费完成104938元，比上年增减23685元，上涨29.1%；公务用车购置及运行维护费完成18605.41元，比上年增减-21774.59元，下降-53.9%。增减变化的主要原因是：2020年公务接待次数较上一年度有所增加；公务用车运行维护减少支出是由于2020年公车维修维护费减少。</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会议费支出情况：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2020年会议费完成57490元，比上年增减-2888元，下降-4.8%，增减变化的主要原因是：会议减少。</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20" w:lineRule="atLeast"/>
        <w:ind w:left="0" w:right="0" w:firstLine="643"/>
        <w:jc w:val="left"/>
      </w:pP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培训费支出情况：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20" w:lineRule="atLeast"/>
        <w:ind w:left="0" w:right="0" w:firstLine="643"/>
        <w:jc w:val="left"/>
      </w:pP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2020年培训费完成66802.5元，比上年增减51352.5元，增加上涨332.4%，增减变化的主要原因是：脱贫攻坚决胜决战年、公厕改革增加等项目增加培训次数，继而是培训费用增加。</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宋体" w:hAnsi="宋体" w:eastAsia="宋体" w:cs="宋体"/>
          <w:b w:val="0"/>
          <w:i w:val="0"/>
          <w:caps w:val="0"/>
          <w:color w:val="898989"/>
          <w:spacing w:val="0"/>
          <w:kern w:val="0"/>
          <w:sz w:val="32"/>
          <w:szCs w:val="32"/>
          <w:bdr w:val="none" w:color="auto" w:sz="0" w:space="0"/>
          <w:lang w:val="en-US" w:eastAsia="zh-CN" w:bidi="ar"/>
        </w:rPr>
        <w:t>湖南省沅江市四季红镇人民政府按照中央、省委、省政府要求，厉行节约，继续严控“三公”经费。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58"/>
        <w:jc w:val="left"/>
      </w:pPr>
      <w:r>
        <w:rPr>
          <w:rFonts w:hint="eastAsia" w:ascii="仿宋" w:hAnsi="仿宋" w:eastAsia="仿宋" w:cs="仿宋"/>
          <w:b w:val="0"/>
          <w:i w:val="0"/>
          <w:caps w:val="0"/>
          <w:color w:val="898989"/>
          <w:spacing w:val="0"/>
          <w:kern w:val="0"/>
          <w:sz w:val="32"/>
          <w:szCs w:val="32"/>
          <w:bdr w:val="none" w:color="auto" w:sz="0" w:space="0"/>
          <w:lang w:val="en-US" w:eastAsia="zh-CN" w:bidi="ar"/>
        </w:rPr>
        <w:t>（二）专项支出的管理和使用情况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宋体" w:hAnsi="宋体" w:eastAsia="宋体" w:cs="宋体"/>
          <w:b w:val="0"/>
          <w:i w:val="0"/>
          <w:caps w:val="0"/>
          <w:color w:val="898989"/>
          <w:spacing w:val="0"/>
          <w:kern w:val="0"/>
          <w:sz w:val="32"/>
          <w:szCs w:val="32"/>
          <w:bdr w:val="none" w:color="auto" w:sz="0" w:space="0"/>
          <w:lang w:val="en-US" w:eastAsia="zh-CN" w:bidi="ar"/>
        </w:rPr>
        <w:t>专项支出4568.1万元，主要用于以下方面：国防支出10万元，占0.2%；公共安全支出14万元，占0.3%；教育支出3.1万元，占0.06%；文化旅游与体育传媒支出19.17万元，占0.4%；社会保障和就业支出2432.32万元，占53.2%；卫生健康支出52.46万元，占1.1%；节能环保支出398.55万元，占8.7%；城乡社区73.6万元，占1.6%；农林水支出1146万元，占25.1%；交通运输支出26万元，占0.6%；自然资源海洋气象支出5万元，占0.1；住房保障支出33万元，占0.7%；其他支出354.9万元，占7.74%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pPr>
      <w:r>
        <w:rPr>
          <w:rFonts w:hint="eastAsia" w:ascii="宋体" w:hAnsi="宋体" w:eastAsia="宋体" w:cs="宋体"/>
          <w:b w:val="0"/>
          <w:i w:val="0"/>
          <w:caps w:val="0"/>
          <w:color w:val="898989"/>
          <w:spacing w:val="0"/>
          <w:sz w:val="32"/>
          <w:szCs w:val="32"/>
          <w:bdr w:val="none" w:color="auto" w:sz="0" w:space="0"/>
        </w:rPr>
        <w:t>专项资金实行“专人管理、专户储存、专账核算、专项使用”。专项资金实行报账制，资金拨付一律转账结算，杜绝现金支付。资金的拨付本着专款专用的原则，严格执行项目资金批准的使用计划和项目批复内容，不准擅自调项、扩项、缩项，更不准拆借、挪用、挤占和随意扣压；资金拨付动向，按不同专项资金的要求执行，不准任意改变；特殊情况，必须请示。严格专项资金初审、审核、审核制度，不准缺项和越程序办理手续，各类专项资金审批程序，以该专项资金审批表所列内容和文件要求为准。对专项资金要定期或不定期进行督查，确保项目资金专款专用，要全程参与项目验收和采购项目接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420"/>
        <w:jc w:val="left"/>
      </w:pPr>
      <w:r>
        <w:rPr>
          <w:rFonts w:hint="eastAsia" w:ascii="仿宋" w:hAnsi="仿宋" w:eastAsia="仿宋" w:cs="仿宋"/>
          <w:b/>
          <w:i w:val="0"/>
          <w:caps w:val="0"/>
          <w:color w:val="000000"/>
          <w:spacing w:val="0"/>
          <w:kern w:val="0"/>
          <w:sz w:val="36"/>
          <w:szCs w:val="36"/>
          <w:bdr w:val="none" w:color="auto" w:sz="0" w:space="0"/>
          <w:shd w:val="clear" w:fill="FFFFFF"/>
          <w:lang w:val="en-US" w:eastAsia="zh-CN" w:bidi="ar"/>
        </w:rPr>
        <w:t>三、单位专项组织实施情况 </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（一）专项组织情况方面。</w:t>
      </w:r>
      <w:r>
        <w:rPr>
          <w:rFonts w:hint="eastAsia" w:ascii="宋体" w:hAnsi="宋体" w:eastAsia="宋体" w:cs="宋体"/>
          <w:b w:val="0"/>
          <w:i w:val="0"/>
          <w:caps w:val="0"/>
          <w:color w:val="000000"/>
          <w:spacing w:val="0"/>
          <w:kern w:val="0"/>
          <w:sz w:val="32"/>
          <w:szCs w:val="32"/>
          <w:bdr w:val="none" w:color="auto" w:sz="0" w:space="0"/>
          <w:lang w:val="en-US" w:eastAsia="zh-CN" w:bidi="ar"/>
        </w:rPr>
        <w:t>我镇加强专项项目组织管理，严格落实财务管理制度。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（二）专项管理情况方面。</w:t>
      </w: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一</w:t>
      </w:r>
      <w:r>
        <w:rPr>
          <w:rFonts w:hint="eastAsia" w:ascii="宋体" w:hAnsi="宋体" w:eastAsia="宋体" w:cs="宋体"/>
          <w:b w:val="0"/>
          <w:i w:val="0"/>
          <w:caps w:val="0"/>
          <w:color w:val="000000"/>
          <w:spacing w:val="0"/>
          <w:kern w:val="0"/>
          <w:sz w:val="32"/>
          <w:szCs w:val="32"/>
          <w:bdr w:val="none" w:color="auto" w:sz="0" w:space="0"/>
          <w:lang w:val="en-US" w:eastAsia="zh-CN" w:bidi="ar"/>
        </w:rPr>
        <w:t>是严格执行项目预、结算审核制度。二是严格按照既定的项目实施方案，及时完善项目管理制度，认真开展财务决算工作，充分发挥资金的使用效益。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420"/>
        <w:jc w:val="left"/>
      </w:pPr>
      <w:r>
        <w:rPr>
          <w:rFonts w:hint="eastAsia" w:ascii="仿宋" w:hAnsi="仿宋" w:eastAsia="仿宋" w:cs="仿宋"/>
          <w:b/>
          <w:i w:val="0"/>
          <w:caps w:val="0"/>
          <w:color w:val="000000"/>
          <w:spacing w:val="0"/>
          <w:kern w:val="0"/>
          <w:sz w:val="36"/>
          <w:szCs w:val="36"/>
          <w:bdr w:val="none" w:color="auto" w:sz="0" w:space="0"/>
          <w:shd w:val="clear" w:fill="FFFFFF"/>
          <w:lang w:val="en-US" w:eastAsia="zh-CN" w:bidi="ar"/>
        </w:rPr>
        <w:t>四、存在的问题 </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432" w:lineRule="atLeast"/>
        <w:ind w:left="0" w:right="0" w:firstLine="640"/>
        <w:jc w:val="left"/>
      </w:pPr>
      <w:r>
        <w:rPr>
          <w:rFonts w:hint="eastAsia" w:ascii="宋体" w:hAnsi="宋体" w:eastAsia="宋体" w:cs="宋体"/>
          <w:b w:val="0"/>
          <w:i w:val="0"/>
          <w:caps w:val="0"/>
          <w:color w:val="000000"/>
          <w:spacing w:val="0"/>
          <w:kern w:val="0"/>
          <w:sz w:val="32"/>
          <w:szCs w:val="32"/>
          <w:bdr w:val="none" w:color="auto" w:sz="0" w:space="0"/>
          <w:lang w:val="en-US" w:eastAsia="zh-CN" w:bidi="ar"/>
        </w:rPr>
        <w:t>财政收入规模单一，收入结构不合理，社会事业发展所需财政支出压力大，收支矛盾还比较突出，财政管理还不很规范，财经纪律还有待进一步加强。乡镇工作人员项目管理能力有限，专业水平较低，专业技术知识有待提高，管理经验不足。资金使用效益有待进一步提高，绩效目标设立不够明确、细化和量化，实际工作完成效益不高。上级主管部门指导作用发挥不够，各工作部门之间，缺乏有效沟通与配合，统一组织协调工作有待加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420"/>
        <w:jc w:val="left"/>
      </w:pPr>
      <w:r>
        <w:rPr>
          <w:rFonts w:hint="eastAsia" w:ascii="仿宋" w:hAnsi="仿宋" w:eastAsia="仿宋" w:cs="仿宋"/>
          <w:b/>
          <w:i w:val="0"/>
          <w:caps w:val="0"/>
          <w:color w:val="000000"/>
          <w:spacing w:val="0"/>
          <w:kern w:val="0"/>
          <w:sz w:val="36"/>
          <w:szCs w:val="36"/>
          <w:bdr w:val="none" w:color="auto" w:sz="0" w:space="0"/>
          <w:lang w:val="en-US" w:eastAsia="zh-CN" w:bidi="ar"/>
        </w:rPr>
        <w:t>五、改进措施及有关建议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432" w:lineRule="atLeast"/>
        <w:ind w:left="0" w:right="0" w:firstLine="640"/>
        <w:jc w:val="left"/>
      </w:pPr>
      <w:r>
        <w:rPr>
          <w:rFonts w:hint="eastAsia" w:ascii="宋体" w:hAnsi="宋体" w:eastAsia="宋体" w:cs="宋体"/>
          <w:b w:val="0"/>
          <w:i w:val="0"/>
          <w:caps w:val="0"/>
          <w:color w:val="000000"/>
          <w:spacing w:val="0"/>
          <w:kern w:val="0"/>
          <w:sz w:val="32"/>
          <w:szCs w:val="32"/>
          <w:bdr w:val="none" w:color="auto" w:sz="0" w:space="0"/>
          <w:lang w:val="en-US" w:eastAsia="zh-CN" w:bidi="ar"/>
        </w:rPr>
        <w:t>1、加强预算管理，确保收支按预算执行，加强专项资金清理整合。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432" w:lineRule="atLeast"/>
        <w:ind w:left="0" w:right="0" w:firstLine="640"/>
        <w:jc w:val="left"/>
      </w:pPr>
      <w:r>
        <w:rPr>
          <w:rFonts w:hint="eastAsia" w:ascii="宋体" w:hAnsi="宋体" w:eastAsia="宋体" w:cs="宋体"/>
          <w:b w:val="0"/>
          <w:i w:val="0"/>
          <w:caps w:val="0"/>
          <w:color w:val="000000"/>
          <w:spacing w:val="0"/>
          <w:kern w:val="0"/>
          <w:sz w:val="32"/>
          <w:szCs w:val="32"/>
          <w:bdr w:val="none" w:color="auto" w:sz="0" w:space="0"/>
          <w:lang w:val="en-US" w:eastAsia="zh-CN" w:bidi="ar"/>
        </w:rPr>
        <w:t>2、充分发挥财政职能，支持地方经济发展。积极推行政务财务公开，不断改进服务方式,加强财政窗口建设。通过向上级争取资金，加大对农村公益事业投资力度，促进公益事业发展。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432" w:lineRule="atLeast"/>
        <w:ind w:left="0" w:right="0" w:firstLine="640"/>
        <w:jc w:val="left"/>
      </w:pPr>
      <w:r>
        <w:rPr>
          <w:rFonts w:hint="eastAsia" w:ascii="宋体" w:hAnsi="宋体" w:eastAsia="宋体" w:cs="宋体"/>
          <w:b w:val="0"/>
          <w:i w:val="0"/>
          <w:caps w:val="0"/>
          <w:color w:val="000000"/>
          <w:spacing w:val="0"/>
          <w:kern w:val="0"/>
          <w:sz w:val="32"/>
          <w:szCs w:val="32"/>
          <w:bdr w:val="none" w:color="auto" w:sz="0" w:space="0"/>
          <w:lang w:val="en-US" w:eastAsia="zh-CN" w:bidi="ar"/>
        </w:rPr>
        <w:t>3、全面实施绩效管理。推进绩效管理与预算管理紧密结合，实行预算编制、执行、监督全过程的绩效管理工作机制；强化预算支出主体责任，着力提升绩效目标质量；切实强化结果应用，将绩效目标审核结果作为年度安排预算的重要依据，切实提高财政资金使用绩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432" w:lineRule="atLeast"/>
        <w:ind w:left="0" w:right="0" w:firstLine="640"/>
        <w:jc w:val="left"/>
      </w:pPr>
      <w:r>
        <w:rPr>
          <w:rFonts w:hint="eastAsia" w:ascii="宋体" w:hAnsi="宋体" w:eastAsia="宋体" w:cs="宋体"/>
          <w:b w:val="0"/>
          <w:i w:val="0"/>
          <w:caps w:val="0"/>
          <w:color w:val="000000"/>
          <w:spacing w:val="0"/>
          <w:kern w:val="0"/>
          <w:sz w:val="32"/>
          <w:szCs w:val="32"/>
          <w:bdr w:val="none" w:color="auto" w:sz="0" w:space="0"/>
          <w:lang w:val="en-US" w:eastAsia="zh-CN" w:bidi="ar"/>
        </w:rPr>
        <w:t>4、加强财政监督，提高财政资金使用效益。规范单位财务管理和资金使用，规范会计核算，确保专款专用，主要对重点项目建设、社保、扶贫、涉农补贴资金等各类资金追踪管理与监管力度，规范了财政资金使用途径。</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432" w:lineRule="atLeast"/>
        <w:ind w:left="0" w:right="0" w:firstLine="640"/>
        <w:jc w:val="left"/>
      </w:pPr>
      <w:r>
        <w:rPr>
          <w:rFonts w:hint="eastAsia" w:ascii="宋体" w:hAnsi="宋体" w:eastAsia="宋体" w:cs="宋体"/>
          <w:b w:val="0"/>
          <w:i w:val="0"/>
          <w:caps w:val="0"/>
          <w:color w:val="000000"/>
          <w:spacing w:val="0"/>
          <w:kern w:val="0"/>
          <w:sz w:val="32"/>
          <w:szCs w:val="32"/>
          <w:bdr w:val="none" w:color="auto" w:sz="0" w:space="0"/>
          <w:lang w:val="en-US" w:eastAsia="zh-CN" w:bidi="ar"/>
        </w:rPr>
        <w:t>5、提高自身素质，加强队伍建设。以法律法规、机关管理制度为准则，切实转变干部工作作风，加强政治业务学习，细化政务财务公开，建立健全各项内部管理制度。认真参与上级部门组织的业务培训，进一步规范会计基础工作，提高了财政管理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432" w:lineRule="atLeast"/>
        <w:ind w:left="0" w:right="0" w:firstLine="720"/>
        <w:jc w:val="left"/>
      </w:pPr>
      <w:r>
        <w:rPr>
          <w:rFonts w:hint="eastAsia" w:ascii="仿宋" w:hAnsi="仿宋" w:eastAsia="仿宋" w:cs="仿宋"/>
          <w:b w:val="0"/>
          <w:i w:val="0"/>
          <w:caps w:val="0"/>
          <w:color w:val="000000"/>
          <w:spacing w:val="0"/>
          <w:kern w:val="0"/>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432" w:lineRule="atLeast"/>
        <w:ind w:left="0" w:right="0" w:firstLine="720"/>
        <w:jc w:val="left"/>
      </w:pPr>
      <w:r>
        <w:rPr>
          <w:rFonts w:hint="eastAsia" w:ascii="仿宋" w:hAnsi="仿宋" w:eastAsia="仿宋" w:cs="仿宋"/>
          <w:b w:val="0"/>
          <w:i w:val="0"/>
          <w:caps w:val="0"/>
          <w:color w:val="000000"/>
          <w:spacing w:val="0"/>
          <w:kern w:val="0"/>
          <w:sz w:val="36"/>
          <w:szCs w:val="36"/>
          <w:bdr w:val="none" w:color="auto" w:sz="0" w:space="0"/>
          <w:lang w:val="en-US" w:eastAsia="zh-CN" w:bidi="ar"/>
        </w:rPr>
        <w:t>                  沅江市四季红镇人民政府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432" w:lineRule="atLeast"/>
        <w:ind w:left="0" w:right="0" w:firstLine="4680"/>
        <w:jc w:val="left"/>
      </w:pPr>
      <w:r>
        <w:rPr>
          <w:rFonts w:hint="eastAsia" w:ascii="仿宋" w:hAnsi="仿宋" w:eastAsia="仿宋" w:cs="仿宋"/>
          <w:b w:val="0"/>
          <w:i w:val="0"/>
          <w:caps w:val="0"/>
          <w:color w:val="000000"/>
          <w:spacing w:val="0"/>
          <w:kern w:val="0"/>
          <w:sz w:val="36"/>
          <w:szCs w:val="36"/>
          <w:bdr w:val="none" w:color="auto" w:sz="0" w:space="0"/>
          <w:lang w:val="en-US" w:eastAsia="zh-CN" w:bidi="ar"/>
        </w:rPr>
        <w:t>2020年7月30日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mp;#65533;&amp;#65533;&amp;#65533;&amp;#6553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FB5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2022-09-01T07:47:11Z</dcterms:created>
  <dc:creator>tangh</dc:creator>
  <cp:lastModifiedBy>系统管理员 null</cp:lastModifiedBy>
  <dcterms:modified xsi:type="dcterms:W3CDTF">2022-09-01T07:47:33Z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