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44" w:lineRule="atLeast"/>
        <w:ind w:left="0" w:right="0"/>
        <w:jc w:val="center"/>
        <w:rPr>
          <w:b w:val="0"/>
          <w:i w:val="0"/>
          <w:color w:val="0466C7"/>
          <w:sz w:val="33"/>
          <w:szCs w:val="33"/>
        </w:rPr>
      </w:pPr>
      <w:r>
        <w:rPr>
          <w:b w:val="0"/>
          <w:i w:val="0"/>
          <w:caps w:val="0"/>
          <w:color w:val="0466C7"/>
          <w:spacing w:val="0"/>
          <w:sz w:val="33"/>
          <w:szCs w:val="33"/>
          <w:bdr w:val="none" w:color="auto" w:sz="0" w:space="0"/>
        </w:rPr>
        <w:t>阳罗洲镇人民政府2020年度 部门支出绩效自评报告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60" w:lineRule="atLeast"/>
        <w:ind w:left="0" w:right="0" w:firstLine="420"/>
        <w:jc w:val="left"/>
      </w:pPr>
      <w:bookmarkStart w:id="0" w:name="_GoBack"/>
      <w:bookmarkEnd w:id="0"/>
      <w:r>
        <w:rPr>
          <w:rFonts w:ascii="黑体" w:hAnsi="宋体" w:eastAsia="黑体" w:cs="黑体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一、单位基本情况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60" w:lineRule="atLeast"/>
        <w:ind w:left="0" w:right="0" w:firstLine="640"/>
        <w:jc w:val="left"/>
      </w:pPr>
      <w:r>
        <w:rPr>
          <w:rFonts w:ascii="楷体" w:hAnsi="楷体" w:eastAsia="楷体" w:cs="楷体"/>
          <w:b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</w:t>
      </w:r>
      <w:r>
        <w:rPr>
          <w:rFonts w:hint="eastAsia" w:ascii="楷体" w:hAnsi="楷体" w:eastAsia="楷体" w:cs="楷体"/>
          <w:b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.机构情况</w:t>
      </w:r>
      <w:r>
        <w:rPr>
          <w:rFonts w:hint="eastAsia" w:ascii="楷体" w:hAnsi="楷体" w:eastAsia="楷体" w:cs="楷体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60" w:lineRule="atLeast"/>
        <w:ind w:left="0" w:right="0" w:firstLine="640"/>
        <w:jc w:val="left"/>
      </w:pPr>
      <w:r>
        <w:rPr>
          <w:rFonts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年本单位由7个党政机构（党政办公室、党建办公室、经济发展办公室、社会事务办公室、自然资源和生态环境办公室、社会治安和应急管理办公室、财政财务管理办公室）、4个事业单位（社会事务综合服务中心、农业综合服务中心、党群和政务服务中心、退役军人服务站）和1个综合执法大队组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60" w:lineRule="atLeast"/>
        <w:ind w:left="0" w:right="0" w:firstLine="640"/>
        <w:jc w:val="left"/>
      </w:pPr>
      <w:r>
        <w:rPr>
          <w:rFonts w:hint="eastAsia" w:ascii="楷体" w:hAnsi="楷体" w:eastAsia="楷体" w:cs="楷体"/>
          <w:b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2.人员情况。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2020年本单位年末实有在编人数67人。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60" w:lineRule="atLeast"/>
        <w:ind w:left="0" w:right="0" w:firstLine="640"/>
        <w:jc w:val="left"/>
      </w:pPr>
      <w:r>
        <w:rPr>
          <w:rFonts w:hint="eastAsia" w:ascii="楷体" w:hAnsi="楷体" w:eastAsia="楷体" w:cs="楷体"/>
          <w:b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3.主要职责。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56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阳罗州镇人民政府的主要职责为：一是落实政策。宣传、落实好党的路线、方针、政策和国家的法律、法规，稳定农村基本经济制度，坚持依法行政，推进政务公开，加强对村（居）民委员会的指导，提高、培育村（居）民委员会自治能力。二是促进发展。科学制定发展规划，营造农村经济发展环境，加强农村市场监督，培育、提升市场功能，搞活市场流通，推广农业技术，引导农民发展现代农业，调整产业结构，加强农村劳动力技能培训，引导农村劳动力转移和就业，不断提高社会主义新农村建设水平。三是维护稳定。坚持“立党为公，执政为民”，紧紧围绕实现和维护群众利益开展工作，突出解决人民群众最关心、最直接、最现实的利益问题。开展农村扶贫和社会救助，切实保障农民合法权益，维护农村社会稳定。四是加强管理。加强民政、教育、科技、文化、卫生、计划生育、安全生产、劳动保障和乡村规划等社会管理，加强社会主义精神文明建设，加强环境保护，努力改善农村人居环境。五是提供服务。进一步发展和完善农业社会化服务体系，引导各类协会和农村专业合作经济组织发展，充分发挥其作用，发展农村社会公益事业和集体公益事业，加强农村基础设施建设，增加公共产品，提供政策、科技、市场信息和社会救济、救助服务，及时向上级党委、政府反映社情民意，进一步密切党和政府与人民群众的关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42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42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二、单位整体支出管理及使用情况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60" w:lineRule="atLeast"/>
        <w:ind w:left="0" w:right="0" w:firstLine="420"/>
        <w:jc w:val="left"/>
      </w:pPr>
      <w:r>
        <w:rPr>
          <w:rFonts w:hint="eastAsia" w:ascii="楷体" w:hAnsi="楷体" w:eastAsia="楷体" w:cs="楷体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（一）基本支出的管理和使用情况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基本支出主要包括人员经费和日常公用经费，人员经费即为单位在编人员工资、奖金等，日常公用经费主要是单位日常办公费、差旅费、公务接待费等。2020年度本单位实际收入6,213.66万元，实际支出5,779.90万元（含上年结转结余支出487.16万元），年末结转结余921.68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2020年度实际收入6,213.66万元，其中：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一般公共预算财政拨款收入2,734.58万元，政府性基金财政拨款收入804.66万元，其他收入2,674.42万元。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2020年度实际支出5,779.90万元。其中：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60" w:lineRule="atLeast"/>
        <w:ind w:left="0" w:right="0" w:firstLine="64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基本支出805.57万元（人员经费725.95万元，日常公用经费79.62万元），项目支出4,974.33万元。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56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2020年，“三公”经费支出244,500元，其中：公务接待费184,000元，比上年增减-1,000元，同比下降-0.54%；公务用车购置及运行维护费完成60,500元，比上年增减-500元，同比下降-0.82%。我单位严格按照各级文件要求，强化公车管理，公车实行统一管理、统一调度，严格公务接待，规范接待标准，厉行节约，提高思想认识，树立节约意识，严格控制“三公”经费，并取得较好成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560" w:lineRule="atLeast"/>
        <w:ind w:left="0" w:right="0" w:firstLine="420"/>
        <w:jc w:val="left"/>
      </w:pPr>
      <w:r>
        <w:rPr>
          <w:rFonts w:hint="eastAsia" w:ascii="楷体" w:hAnsi="楷体" w:eastAsia="楷体" w:cs="楷体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（二）专项支出的管理和使用情况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56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2020年本单位专项资金支出860.68万元，主要支出为公益性公墓停车坪工程支出29.80万元、漉湖泥围拆除工程支出50.78万元、政府外墙装修工程支出29.72万元、阳罗棚户区改造工程支出533万元、星级财政所建设工程支出26.92万元、政府会议室及户外装饰工程支出24.44万元、政府院内深塘回填土石方工程支出25.60万元、机关原住宿楼拆除工程支出19.56万元、三无船舶拆解劳务等其他支出120.86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56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专项资金管理坚持专款专用、专人专管、专账核算、量入为出的原则，严禁截留、挪用和不合理支出。制订了完善财务审批、专项资金使用等各项管理制度，项目资金使用情况接受财政、审计、纪检等部门的监督检查。除劳务费外其他所有项目严格按照政府采购相关规定，实施招投标或电子卖场采购，确保项目实施的完整性和专项资金的安全性。定期或不定期对项目资金的使用进行监督检查，厉行节俭，强化监管，确保了专项资金管理规范，保障了项目顺利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42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42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三、存在的问题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56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一是财政收入结构单一，缺少本级收入来源。目前我镇财政收入来源主要是上级财政拨款，本级政府自有收入少，对政策依赖性较强。2020年因为疫情等因素，上级财政压力大，且我镇社会事业发展所需财政支出较多，导致收支矛盾比较突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56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二是财政财务管理制度还需进一步完善。部分管理制度使用时间较长，不能适应目前的财政财务工作管理需要，需进行更新完善。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56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三是乡镇工作人员项目管理能力有限、经验不足。由于现实条件限制，工作人员专业技术知识还有待提高，管理经验尚且不足。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56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420"/>
        <w:jc w:val="left"/>
      </w:pPr>
      <w:r>
        <w:rPr>
          <w:rFonts w:hint="eastAsia" w:ascii="黑体" w:hAnsi="宋体" w:eastAsia="黑体" w:cs="黑体"/>
          <w:b w:val="0"/>
          <w:i w:val="0"/>
          <w:caps w:val="0"/>
          <w:color w:val="898989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四、改进措施及有关建议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56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、积极扩展财政收入渠道，增加本级财政收入。通过向上级争取资金，加大对农村公益事业投资力度，促进公益事业发展。加强预算管理，确保收支按预算执行，加强专项资金项目管理，确保有项目、有资金、有建设、有监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56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、进一步完善各项财政财务制度，使财政事务有制度、有保障，使财政资金有执行、有监督。加强制度对财政资金管理和使用的约束性，规范会计核算方式与内容，确保专款专用。结合财政局、审计局、市纪委等要求，制定报销凭据管理规定，统一各类报销凭据标准，避免出现报销凭据不完整现象，更好地服务群众和机关干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32" w:lineRule="atLeast"/>
        <w:ind w:left="0" w:right="0" w:firstLine="56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898989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、加强队伍建设，提升人员能力。以法律法规、机关管理制度为准则，加强政治业务、财政财务学习，认真参与上级部门组织的业务培训，进一步规范会计基础工作，提高了财政管理水平、提升我镇财政财务工作人员业务水平，更好地服务地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#65533;&amp;#65533;&amp;#65533;&amp;#65533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2022-09-01T09:07:59Z</dcterms:created>
  <dc:creator>tangh</dc:creator>
  <cp:lastModifiedBy>系统管理员 null</cp:lastModifiedBy>
  <dcterms:modified xsi:type="dcterms:W3CDTF">2022-09-01T09:08:15Z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