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center"/>
        <w:rPr>
          <w:rFonts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沅江市市场服务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整体支出绩效评价报告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ascii="新宋体" w:hAnsi="新宋体" w:eastAsia="新宋体" w:cs="新宋体"/>
          <w:b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按照</w:t>
      </w:r>
      <w:r>
        <w:rPr>
          <w:rFonts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《沅江市财政局关于做好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2020年度预算绩效自评工作的通知》沅财绩【2021】1号文件工作部署，根据财政部《财政支出绩效评价管理暂行办法》、《湖南省预算绩效管理工作规程（试行）的通知》等文件要求，我中心积极组织各个相关股室对2020年度部门预算绩效开展了自评，现将具体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情况汇报如下：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0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一、部门基本情况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本单位属于独立核算的二级机构，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没有下属单位决算。本单位在职职工72人，退休37人，共计109人。主要职责是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贯彻中央、省、市关于市场规划建设和管理的法律法规，执行本市市场计划建设和管理的规章制度；负责市场信息统计工作；经营管理自建市场和新建市场的资产，负责市场设施的维修和改造，为市场业主提供各种服务设施和服务项目，收取市场交易服务费；负责搞好市场消防、安全、卫生、秩序及其他经营性事务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二、部门整体支出情况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2020年度单位收入、支出年初预算均为750万元，与上年同期对比减少0.45%，年度执行中基本支出主要用于发放干职工的工资和福利及“五险一金”，由财政按月拨款，单位按月发放到位。另财政预算追加拨款32.15万元用于发放职工的增补工资。至年末收入决算为782.15万元，支出决算数为766.67万元，年末结转为133.24万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本单位2020年“三公”经费决算为3.44万元，比同口径预算安排的5万元减少,为预算数的68.8%，较2019年3.76万元减少.其中：公务接待费3.44万元（国内接待费3.44万元，共接待86批次、860人次），取消公务用车。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三、专项支出的管理和使用情况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本单位2020年专项资金为25万元，由财政拨款，在使用过程中能做到专款专用，主要用于市场卫生维护，市场整治与维修，为经营着创作良好的经营环境。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    总的来说，本单位2020年度不论整体支出还是专项支出资金管理和分配都比较合理，资金拨付及时，资金使用合规，无截留、挪用、闲置现象，财务核算规范、资料齐全。对单位而言，干职工的工资和福利得到了及时发放，使生活得到保障，维护了社会的稳定，对市场而言，各市场得到及时整治与维护，创造了良好的经营环境，对保障居民的“菜篮子”工程产生了良好的社会效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沅江市市场服务中心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市场整治专项绩效评价报告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为了加强市场管理，维护好正常的市场秩序，财政预算于2020年度向市场服务中心拨付市场整治专项资金25万元用于市场建设，目前该项目已完成，现将有关情况报告如下：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一、部门基本情况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本单位属于独立核算的二级机构，没有下属单位决算。本单位在职职工72人，退休37人，共计109人。主要职责是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贯彻中央、省、市关于市场规划建设和管理的法律法规，执行本市市场计划建设和管理的规章制度；负责市场信息统计工作；经营管理自建市场和新建市场的资产，负责市场设施的维修和改造，为市场业主提供各种服务设施和服务项目，收取市场交易服务费；负责搞好市场消防、安全、卫生、秩序及其他经营性事务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二、专项绩效目标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本单位2020年度市场整治专项绩效目标主要是搞好市场卫生及市场整顿治理，完善市场各项设施，为经营者创造一个良好的市场环境。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三、专项支出的管理和实施情况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本单位2020年专项资金为25万元，由财政拨款，在使用过程中能做到专款专用，主要用于市场卫生维护，市场整治与维修。市场卫生维护于年初1月份就开始实施，分月进行。市场整治与维修于3月份实施，根据市场状况据实进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280" w:right="0" w:hanging="28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四、项目绩效及评价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280" w:right="0" w:hanging="28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     该项目的实施使各个市场保持了良好的卫生状况，市场破损也得到了及时的维修，创造了良好的市场环境，为居民生活带来了方便。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2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五、绩效评价发现的问题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508" w:right="0" w:firstLine="28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该项目在实施和资金使用过程中程序合法，资金使用及项目实施速度较快，完全符合有关标准的规定，未发现任何问题。维护了市场稳定，产生了良好的社会效应。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#65533;&amp;#65533;&amp;#65533;&amp;#655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6E547A0"/>
    <w:rsid w:val="0D002E1D"/>
    <w:rsid w:val="15BB37EC"/>
    <w:rsid w:val="17492239"/>
    <w:rsid w:val="1B2D6EB8"/>
    <w:rsid w:val="1C81375B"/>
    <w:rsid w:val="1CA53FFF"/>
    <w:rsid w:val="1F024A8F"/>
    <w:rsid w:val="2C7D4461"/>
    <w:rsid w:val="2D46460A"/>
    <w:rsid w:val="2D8B2334"/>
    <w:rsid w:val="34CF27A4"/>
    <w:rsid w:val="36B21028"/>
    <w:rsid w:val="399153BB"/>
    <w:rsid w:val="44BA5501"/>
    <w:rsid w:val="46364306"/>
    <w:rsid w:val="4B7462C8"/>
    <w:rsid w:val="4FC866FB"/>
    <w:rsid w:val="65554713"/>
    <w:rsid w:val="6982049D"/>
    <w:rsid w:val="6FA1272B"/>
    <w:rsid w:val="73992764"/>
    <w:rsid w:val="78AF5E04"/>
    <w:rsid w:val="79B94A73"/>
    <w:rsid w:val="7D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3"/>
    </w:pPr>
    <w:rPr>
      <w:rFonts w:ascii="Calibri" w:hAnsi="Calibri" w:eastAsia="宋体" w:cs="Times New Roman"/>
      <w:b/>
      <w:bCs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ADA833A5F0384690910DE38357F59EA6</vt:lpwstr>
  </property>
</Properties>
</file>