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宋体" w:eastAsia="方正小标宋_GBK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2020年度整体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支出绩效自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评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报告</w:t>
      </w:r>
    </w:p>
    <w:p>
      <w:pPr>
        <w:widowControl/>
        <w:shd w:val="clear" w:color="auto" w:fill="FFFFFF"/>
        <w:spacing w:line="600" w:lineRule="atLeas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一、部门概况</w:t>
      </w:r>
    </w:p>
    <w:p>
      <w:pPr>
        <w:widowControl/>
        <w:shd w:val="clear" w:color="auto" w:fill="FFFFFF"/>
        <w:spacing w:line="560" w:lineRule="atLeast"/>
        <w:ind w:firstLine="643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（一）单位基本情况</w:t>
      </w:r>
    </w:p>
    <w:p>
      <w:pPr>
        <w:widowControl/>
        <w:spacing w:line="520" w:lineRule="atLeast"/>
        <w:ind w:firstLine="321" w:firstLineChars="1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1、机构设置和人员情况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根据编委核定，我中心为全额拨款副科级事业单位，内设股室5个，全部纳入2020年部门预算编制范围。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20" w:lineRule="atLeast"/>
        <w:ind w:firstLine="42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截止2020年1月（预算编制时间），我中心纳入部门预算编制15人。其中：实有在职人员15人，离退休人员 0人 ，遗属人员0人。</w:t>
      </w:r>
    </w:p>
    <w:p>
      <w:pPr>
        <w:widowControl/>
        <w:numPr>
          <w:ilvl w:val="0"/>
          <w:numId w:val="1"/>
        </w:numPr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主要职责：</w:t>
      </w:r>
      <w:r>
        <w:rPr>
          <w:rFonts w:hint="eastAsia" w:ascii="仿宋_GB2312" w:hAnsi="宋体" w:eastAsia="仿宋_GB2312" w:cs="宋体"/>
          <w:sz w:val="32"/>
          <w:szCs w:val="32"/>
        </w:rPr>
        <w:t>（一）贯彻执行国家、省、市有关招商引资和投资促进方面的方针政策和法律法规。提出全市招商引资、国内经济技术合作的规章制度、管理办法并组织实施。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（二）负责招商引资和投资合作项目的推介、洽谈和客商接待工作，为投资客商提供投资环境考察、投资导向、政策法规等方面的优质服务。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（三）认真开展项目落户建设过程中的跟踪服务。督促检查外商投资企业执行有关法律法规和合同、章程情况。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（四）建立与客商的联系渠道，收集、整理、分析投资数据信息。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（五）负责建设招商引资项目库，统一对外发布招商项目和信息。组织招商引资活动，负责组织、协调、督促、检查全市招商引资工作和全市利用内、外资的统计工作。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（六）组织全市招商引资目标任务的考核，归口管理招商引资联络员工作。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（二）单位整体支出规模和使用方向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本年度我单位收入年初预算为1665.45万元，本年度支出年初预算为1665.45万元，年度执行中收入调整数为510.204万元，支出调整数为466.669万元。调整原因是局机关划拨工作经费与项目支出增加。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本年度收入510.204万元，其中一般公共预算财政拨款收入454.994万元，占收入的89.18%;其他收入55.21万元，占收入的10.82%。</w:t>
      </w:r>
    </w:p>
    <w:p>
      <w:pPr>
        <w:widowControl/>
        <w:shd w:val="clear" w:color="auto" w:fill="FFFFFF"/>
        <w:spacing w:line="500" w:lineRule="exact"/>
        <w:ind w:left="596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二、部门整体支出使用况</w:t>
      </w:r>
    </w:p>
    <w:p>
      <w:pPr>
        <w:widowControl/>
        <w:shd w:val="clear" w:color="auto" w:fill="FFFFFF"/>
        <w:spacing w:line="500" w:lineRule="exact"/>
        <w:ind w:left="596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（一）基本支出</w:t>
      </w:r>
    </w:p>
    <w:p>
      <w:pPr>
        <w:widowControl/>
        <w:numPr>
          <w:ilvl w:val="0"/>
          <w:numId w:val="2"/>
        </w:numPr>
        <w:shd w:val="clear" w:color="auto" w:fill="FFFFFF"/>
        <w:spacing w:line="600" w:lineRule="atLeast"/>
        <w:ind w:left="639" w:leftChars="152" w:hanging="320" w:hangingChars="1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度一般公共预算财政拨款基本支出127.994万元，其中人员经费支出112.99万元，主要包括：基本工资、津贴补贴、奖金、伙食补助费、其他工资福利支出、医疗费、住房公积金；日常公用经费支出15万元，主要包括：办公费、公务接待费、差旅费、其他商品和服务支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numPr>
          <w:ilvl w:val="0"/>
          <w:numId w:val="2"/>
        </w:numPr>
        <w:shd w:val="clear" w:color="auto" w:fill="FFFFFF"/>
        <w:spacing w:line="600" w:lineRule="atLeast"/>
        <w:ind w:left="639" w:leftChars="152" w:hanging="320" w:hangingChars="1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2020年“三公”经费决算为111.95万元，其中公务接待费109.932万元，公务用车运行维护费2.015万元，“三公”经费比上年度下降了约10.62%。</w:t>
      </w:r>
    </w:p>
    <w:p>
      <w:pPr>
        <w:widowControl/>
        <w:shd w:val="clear" w:color="auto" w:fill="FFFFFF"/>
        <w:spacing w:line="600" w:lineRule="atLeast"/>
        <w:ind w:left="639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（二）项目支出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2020年度一般公共预算财政拨款项目支出总计327万元，其中：招商引资专项支出48万元，招商引资市级专项支出134.87万元，招商引资宣传片专项支出26.81万元，招商服务外包专项87.8万元，上级专项5万元。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三、部门整体支出管理情况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中心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四、部门整体支出绩效情况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我中心在保障了单位正常运转的同时，认真履行好部门职能职责，在重点工作上主要完成了以下内容：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一是实际利用外资，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</w:t>
      </w:r>
      <w:r>
        <w:rPr>
          <w:rFonts w:hint="eastAsia" w:ascii="仿宋_GB2312" w:hAnsi="Calibri" w:eastAsia="仿宋_GB2312" w:cs="仿宋_GB2312"/>
          <w:sz w:val="32"/>
          <w:szCs w:val="32"/>
        </w:rPr>
        <w:t>实际利用外资4800万美元，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1-11月份</w:t>
      </w:r>
      <w:r>
        <w:rPr>
          <w:rFonts w:hint="eastAsia" w:ascii="仿宋_GB2312" w:hAnsi="Calibri" w:eastAsia="仿宋_GB2312" w:cs="仿宋_GB2312"/>
          <w:sz w:val="32"/>
          <w:szCs w:val="32"/>
        </w:rPr>
        <w:t>完成全年目标任务4500万美元的102.8%</w:t>
      </w:r>
      <w:r>
        <w:rPr>
          <w:rFonts w:hint="eastAsia" w:ascii="仿宋" w:hAnsi="仿宋" w:eastAsia="仿宋" w:cs="Times New Roman"/>
          <w:sz w:val="32"/>
          <w:szCs w:val="32"/>
        </w:rPr>
        <w:t>。二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是引进境内省外资金，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全年完成83.5亿元，1-11月份完成84.53亿元，完成全年目标任务的103.09%。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三是引进市域外资金完成固定资产投资，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全年完成84.2亿元，1-11月份完成77.04亿元，完成全年目标任务的92.82%。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四是“三新项目”落实推进情况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新引进项目30个，新开工项目25个，新投产项目15个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总体来说，我中心履职及履职效益良好，一是对各项支出严格按照预算制度进行控制，努力节约经费；二是各项工作均能按时完成，且质量较高；三是部门整体支出效果达到了预期，在招商引资方面取得了较大进展。</w:t>
      </w:r>
    </w:p>
    <w:p>
      <w:pPr>
        <w:autoSpaceDE w:val="0"/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90D1"/>
    <w:multiLevelType w:val="singleLevel"/>
    <w:tmpl w:val="599E90D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AFA531"/>
    <w:multiLevelType w:val="singleLevel"/>
    <w:tmpl w:val="59AFA5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C81375B"/>
    <w:rsid w:val="1CA53FFF"/>
    <w:rsid w:val="1F024A8F"/>
    <w:rsid w:val="2C7D4461"/>
    <w:rsid w:val="2D46460A"/>
    <w:rsid w:val="2D8B2334"/>
    <w:rsid w:val="34CF27A4"/>
    <w:rsid w:val="36B21028"/>
    <w:rsid w:val="399153BB"/>
    <w:rsid w:val="3EBD6C27"/>
    <w:rsid w:val="44BA5501"/>
    <w:rsid w:val="46364306"/>
    <w:rsid w:val="4B7462C8"/>
    <w:rsid w:val="4FC866FB"/>
    <w:rsid w:val="6982049D"/>
    <w:rsid w:val="6FA1272B"/>
    <w:rsid w:val="78AF5E04"/>
    <w:rsid w:val="79B94A73"/>
    <w:rsid w:val="7D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C13ED4DBB7E74AF3978B40850DE98E26</vt:lpwstr>
  </property>
</Properties>
</file>