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AC" w:rsidRDefault="00125E47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年度市社会福利中心</w:t>
      </w:r>
      <w:r>
        <w:rPr>
          <w:rFonts w:ascii="黑体" w:eastAsia="黑体" w:hAnsi="黑体" w:cs="宋体" w:hint="eastAsia"/>
          <w:bCs/>
          <w:color w:val="333333"/>
          <w:kern w:val="0"/>
          <w:sz w:val="36"/>
          <w:szCs w:val="36"/>
        </w:rPr>
        <w:t>整体</w:t>
      </w:r>
      <w:r>
        <w:rPr>
          <w:rFonts w:ascii="黑体" w:eastAsia="黑体" w:hAnsi="黑体" w:hint="eastAsia"/>
          <w:bCs/>
          <w:color w:val="333333"/>
          <w:kern w:val="0"/>
          <w:sz w:val="36"/>
          <w:szCs w:val="36"/>
        </w:rPr>
        <w:t>支出绩效自</w:t>
      </w:r>
      <w:r>
        <w:rPr>
          <w:rFonts w:ascii="黑体" w:eastAsia="黑体" w:hAnsi="黑体" w:cs="宋体" w:hint="eastAsia"/>
          <w:bCs/>
          <w:color w:val="333333"/>
          <w:kern w:val="0"/>
          <w:sz w:val="36"/>
          <w:szCs w:val="36"/>
        </w:rPr>
        <w:t>评</w:t>
      </w:r>
      <w:r>
        <w:rPr>
          <w:rFonts w:ascii="黑体" w:eastAsia="黑体" w:hAnsi="黑体" w:hint="eastAsia"/>
          <w:bCs/>
          <w:color w:val="333333"/>
          <w:kern w:val="0"/>
          <w:sz w:val="36"/>
          <w:szCs w:val="36"/>
        </w:rPr>
        <w:t>报告</w:t>
      </w:r>
    </w:p>
    <w:p w:rsidR="001C6AAC" w:rsidRDefault="001C6AAC">
      <w:pPr>
        <w:jc w:val="left"/>
        <w:rPr>
          <w:rFonts w:ascii="黑体" w:eastAsia="黑体" w:hAnsi="黑体"/>
          <w:b/>
          <w:szCs w:val="24"/>
        </w:rPr>
      </w:pPr>
    </w:p>
    <w:p w:rsidR="001C6AAC" w:rsidRDefault="001C6AAC">
      <w:pPr>
        <w:jc w:val="left"/>
        <w:rPr>
          <w:szCs w:val="24"/>
        </w:rPr>
      </w:pPr>
    </w:p>
    <w:p w:rsidR="001C6AAC" w:rsidRDefault="001C6AAC">
      <w:pPr>
        <w:jc w:val="left"/>
        <w:rPr>
          <w:szCs w:val="24"/>
        </w:rPr>
      </w:pPr>
    </w:p>
    <w:p w:rsidR="001C6AAC" w:rsidRDefault="00125E47">
      <w:pPr>
        <w:numPr>
          <w:ilvl w:val="0"/>
          <w:numId w:val="1"/>
        </w:numPr>
        <w:jc w:val="lef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 w:hint="eastAsia"/>
          <w:b/>
          <w:sz w:val="30"/>
          <w:szCs w:val="24"/>
        </w:rPr>
        <w:t>部门基本情况</w:t>
      </w:r>
      <w:r>
        <w:rPr>
          <w:rFonts w:ascii="仿宋" w:eastAsia="仿宋" w:hAnsi="仿宋" w:hint="eastAsia"/>
          <w:sz w:val="30"/>
          <w:szCs w:val="24"/>
        </w:rPr>
        <w:t>。</w:t>
      </w:r>
    </w:p>
    <w:p w:rsidR="001C6AAC" w:rsidRDefault="00125E47">
      <w:pPr>
        <w:numPr>
          <w:ilvl w:val="0"/>
          <w:numId w:val="2"/>
        </w:numPr>
        <w:jc w:val="lef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 w:hint="eastAsia"/>
          <w:sz w:val="30"/>
          <w:szCs w:val="24"/>
        </w:rPr>
        <w:t>机构设置情况：沅江市社会福利中心是民政局下属的二级事业单位。</w:t>
      </w:r>
    </w:p>
    <w:p w:rsidR="001C6AAC" w:rsidRDefault="00125E47">
      <w:pPr>
        <w:numPr>
          <w:ilvl w:val="0"/>
          <w:numId w:val="2"/>
        </w:numPr>
        <w:jc w:val="lef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 w:hint="eastAsia"/>
          <w:sz w:val="30"/>
          <w:szCs w:val="24"/>
        </w:rPr>
        <w:t>人员情况：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根据编委核定，社会福利中心所属事业编</w:t>
      </w:r>
      <w:r>
        <w:rPr>
          <w:rFonts w:ascii="仿宋" w:eastAsia="仿宋" w:hAnsi="仿宋" w:hint="eastAsia"/>
          <w:color w:val="000000"/>
          <w:kern w:val="0"/>
          <w:sz w:val="30"/>
          <w:szCs w:val="24"/>
          <w:u w:val="single"/>
        </w:rPr>
        <w:t>9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人，在职人员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7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人，退休人员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2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人，全部纳入</w:t>
      </w:r>
      <w:r>
        <w:rPr>
          <w:rFonts w:ascii="仿宋" w:eastAsia="仿宋" w:hAnsi="仿宋"/>
          <w:color w:val="000000"/>
          <w:kern w:val="0"/>
          <w:sz w:val="30"/>
          <w:szCs w:val="24"/>
        </w:rPr>
        <w:t>20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20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年部门决算编制范围。</w:t>
      </w:r>
    </w:p>
    <w:p w:rsidR="001C6AAC" w:rsidRDefault="00125E47">
      <w:pPr>
        <w:numPr>
          <w:ilvl w:val="0"/>
          <w:numId w:val="2"/>
        </w:numPr>
        <w:jc w:val="lef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工作职责：</w:t>
      </w:r>
      <w:r>
        <w:rPr>
          <w:rFonts w:ascii="仿宋" w:eastAsia="仿宋" w:hAnsi="仿宋" w:hint="eastAsia"/>
          <w:sz w:val="30"/>
          <w:szCs w:val="24"/>
        </w:rPr>
        <w:t>贯彻执行民政工作法律、法规和方针、政策；</w:t>
      </w:r>
      <w:r>
        <w:rPr>
          <w:rFonts w:ascii="仿宋" w:eastAsia="仿宋" w:hAnsi="仿宋" w:hint="eastAsia"/>
          <w:color w:val="333333"/>
          <w:sz w:val="30"/>
          <w:szCs w:val="24"/>
          <w:shd w:val="clear" w:color="auto" w:fill="FFFFFF"/>
        </w:rPr>
        <w:t>主要服务于孤残儿童、社会弃婴收养、医疗和教育收养“三无”老人、供养老人的养护、医疗和康复</w:t>
      </w:r>
      <w:r>
        <w:rPr>
          <w:rFonts w:ascii="仿宋" w:eastAsia="仿宋" w:hAnsi="仿宋" w:hint="eastAsia"/>
          <w:sz w:val="30"/>
          <w:szCs w:val="24"/>
        </w:rPr>
        <w:t>。</w:t>
      </w:r>
    </w:p>
    <w:p w:rsidR="001C6AAC" w:rsidRDefault="00125E47">
      <w:pPr>
        <w:numPr>
          <w:ilvl w:val="0"/>
          <w:numId w:val="1"/>
        </w:numPr>
        <w:shd w:val="clear" w:color="auto" w:fill="FFFFFF"/>
        <w:spacing w:line="560" w:lineRule="atLeast"/>
        <w:jc w:val="left"/>
        <w:rPr>
          <w:rStyle w:val="a3"/>
          <w:rFonts w:ascii="仿宋" w:eastAsia="仿宋" w:hAnsi="仿宋"/>
          <w:color w:val="1B1B1B"/>
          <w:sz w:val="30"/>
          <w:szCs w:val="24"/>
          <w:shd w:val="clear" w:color="auto" w:fill="FFFFFF"/>
        </w:rPr>
      </w:pPr>
      <w:r>
        <w:rPr>
          <w:rStyle w:val="a3"/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部门整体支出管理及使用情况</w:t>
      </w:r>
    </w:p>
    <w:p w:rsidR="001C6AAC" w:rsidRDefault="00125E4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24"/>
        </w:rPr>
        <w:t>（一）基本支出的管理和使用情况</w:t>
      </w:r>
      <w:r>
        <w:rPr>
          <w:rFonts w:ascii="仿宋" w:eastAsia="仿宋" w:hAnsi="仿宋"/>
          <w:color w:val="1B1B1B"/>
          <w:sz w:val="30"/>
          <w:szCs w:val="24"/>
          <w:shd w:val="clear" w:color="auto" w:fill="FFFFFF"/>
        </w:rPr>
        <w:br/>
      </w:r>
      <w:r>
        <w:rPr>
          <w:rFonts w:ascii="仿宋" w:eastAsia="仿宋" w:hAnsi="仿宋" w:hint="eastAsia"/>
          <w:sz w:val="30"/>
          <w:szCs w:val="24"/>
        </w:rPr>
        <w:t xml:space="preserve">　</w:t>
      </w:r>
      <w:r>
        <w:rPr>
          <w:rFonts w:ascii="仿宋" w:eastAsia="仿宋" w:hAnsi="仿宋"/>
          <w:sz w:val="30"/>
          <w:szCs w:val="30"/>
        </w:rPr>
        <w:t xml:space="preserve"> 1</w:t>
      </w:r>
      <w:r>
        <w:rPr>
          <w:rFonts w:ascii="仿宋" w:eastAsia="仿宋" w:hAnsi="仿宋" w:hint="eastAsia"/>
          <w:sz w:val="30"/>
          <w:szCs w:val="30"/>
        </w:rPr>
        <w:t>、整体支出情况。</w:t>
      </w:r>
      <w:r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年度公共预算财政拨款收入总计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231.214</w:t>
      </w:r>
      <w:r>
        <w:rPr>
          <w:rFonts w:ascii="仿宋" w:eastAsia="仿宋" w:hAnsi="仿宋" w:hint="eastAsia"/>
          <w:sz w:val="30"/>
          <w:szCs w:val="30"/>
        </w:rPr>
        <w:t>万元，公共预算财政拨款支出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231.214</w:t>
      </w:r>
      <w:r>
        <w:rPr>
          <w:rFonts w:ascii="仿宋" w:eastAsia="仿宋" w:hAnsi="仿宋" w:hint="eastAsia"/>
          <w:sz w:val="30"/>
          <w:szCs w:val="30"/>
        </w:rPr>
        <w:t>万元。</w:t>
      </w:r>
    </w:p>
    <w:p w:rsidR="001C6AAC" w:rsidRDefault="00125E47">
      <w:pPr>
        <w:ind w:firstLineChars="150" w:firstLine="45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、一般公共预算财政拨款支出情况。</w:t>
      </w:r>
      <w:r>
        <w:rPr>
          <w:rFonts w:ascii="仿宋" w:eastAsia="仿宋" w:hAnsi="仿宋" w:cs="宋体" w:hint="eastAsia"/>
          <w:kern w:val="0"/>
          <w:sz w:val="30"/>
          <w:szCs w:val="30"/>
        </w:rPr>
        <w:t>社会保障和就业支出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226.437</w:t>
      </w:r>
      <w:r>
        <w:rPr>
          <w:rFonts w:ascii="仿宋" w:eastAsia="仿宋" w:hAnsi="仿宋" w:cs="宋体" w:hint="eastAsia"/>
          <w:kern w:val="0"/>
          <w:sz w:val="30"/>
          <w:szCs w:val="30"/>
        </w:rPr>
        <w:t>万元</w:t>
      </w:r>
      <w:r>
        <w:rPr>
          <w:rFonts w:ascii="仿宋" w:eastAsia="仿宋" w:hAnsi="仿宋" w:cs="宋体"/>
          <w:kern w:val="0"/>
          <w:sz w:val="30"/>
          <w:szCs w:val="30"/>
        </w:rPr>
        <w:t>,</w:t>
      </w:r>
      <w:r>
        <w:rPr>
          <w:rFonts w:ascii="仿宋" w:eastAsia="仿宋" w:hAnsi="仿宋" w:cs="宋体" w:hint="eastAsia"/>
          <w:kern w:val="0"/>
          <w:sz w:val="30"/>
          <w:szCs w:val="30"/>
        </w:rPr>
        <w:t>住房保障支出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4.777</w:t>
      </w:r>
      <w:r>
        <w:rPr>
          <w:rFonts w:ascii="仿宋" w:eastAsia="仿宋" w:hAnsi="仿宋" w:cs="宋体" w:hint="eastAsia"/>
          <w:kern w:val="0"/>
          <w:sz w:val="30"/>
          <w:szCs w:val="30"/>
        </w:rPr>
        <w:t>万元</w:t>
      </w:r>
      <w:r>
        <w:rPr>
          <w:rFonts w:ascii="仿宋" w:eastAsia="仿宋" w:hAnsi="仿宋" w:cs="宋体"/>
          <w:kern w:val="0"/>
          <w:sz w:val="30"/>
          <w:szCs w:val="30"/>
        </w:rPr>
        <w:t>;</w:t>
      </w:r>
    </w:p>
    <w:p w:rsidR="001C6AAC" w:rsidRDefault="00125E47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(</w:t>
      </w:r>
      <w:r>
        <w:rPr>
          <w:rFonts w:ascii="仿宋" w:eastAsia="仿宋" w:hAnsi="仿宋" w:cs="宋体" w:hint="eastAsia"/>
          <w:kern w:val="0"/>
          <w:sz w:val="30"/>
          <w:szCs w:val="30"/>
        </w:rPr>
        <w:t>一</w:t>
      </w:r>
      <w:r>
        <w:rPr>
          <w:rFonts w:ascii="仿宋" w:eastAsia="仿宋" w:hAnsi="仿宋" w:cs="宋体"/>
          <w:kern w:val="0"/>
          <w:sz w:val="30"/>
          <w:szCs w:val="30"/>
        </w:rPr>
        <w:t>)</w:t>
      </w:r>
      <w:r>
        <w:rPr>
          <w:rFonts w:ascii="仿宋" w:eastAsia="仿宋" w:hAnsi="仿宋" w:cs="宋体" w:hint="eastAsia"/>
          <w:kern w:val="0"/>
          <w:sz w:val="30"/>
          <w:szCs w:val="30"/>
        </w:rPr>
        <w:t>基本支出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62.414</w:t>
      </w:r>
      <w:r>
        <w:rPr>
          <w:rFonts w:ascii="仿宋" w:eastAsia="仿宋" w:hAnsi="仿宋" w:hint="eastAsia"/>
          <w:sz w:val="30"/>
          <w:szCs w:val="30"/>
        </w:rPr>
        <w:t>万元</w:t>
      </w:r>
      <w:r>
        <w:rPr>
          <w:rFonts w:ascii="仿宋" w:eastAsia="仿宋" w:hAnsi="仿宋" w:hint="eastAsia"/>
          <w:sz w:val="30"/>
          <w:szCs w:val="30"/>
        </w:rPr>
        <w:t>，其中</w:t>
      </w:r>
      <w:r>
        <w:rPr>
          <w:rFonts w:ascii="仿宋" w:eastAsia="仿宋" w:hAnsi="仿宋" w:cs="宋体" w:hint="eastAsia"/>
          <w:kern w:val="0"/>
          <w:sz w:val="30"/>
          <w:szCs w:val="30"/>
        </w:rPr>
        <w:t>工资福利支出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55.414</w:t>
      </w:r>
      <w:r>
        <w:rPr>
          <w:rFonts w:ascii="仿宋" w:eastAsia="仿宋" w:hAnsi="仿宋" w:hint="eastAsia"/>
          <w:sz w:val="30"/>
          <w:szCs w:val="30"/>
        </w:rPr>
        <w:t>万元</w:t>
      </w:r>
      <w:r>
        <w:rPr>
          <w:rFonts w:ascii="仿宋" w:eastAsia="仿宋" w:hAnsi="仿宋" w:cs="宋体"/>
          <w:kern w:val="0"/>
          <w:sz w:val="30"/>
          <w:szCs w:val="30"/>
        </w:rPr>
        <w:t xml:space="preserve">    </w:t>
      </w:r>
      <w:r>
        <w:rPr>
          <w:rFonts w:ascii="仿宋" w:eastAsia="仿宋" w:hAnsi="仿宋" w:cs="宋体" w:hint="eastAsia"/>
          <w:kern w:val="0"/>
          <w:sz w:val="30"/>
          <w:szCs w:val="30"/>
        </w:rPr>
        <w:t>商品和服务支出</w:t>
      </w:r>
      <w:r>
        <w:rPr>
          <w:rFonts w:ascii="仿宋" w:eastAsia="仿宋" w:hAnsi="仿宋" w:cs="宋体"/>
          <w:kern w:val="0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万元</w:t>
      </w:r>
    </w:p>
    <w:p w:rsidR="001C6AAC" w:rsidRDefault="00125E47">
      <w:pPr>
        <w:ind w:firstLineChars="250" w:firstLine="75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cs="宋体" w:hint="eastAsia"/>
          <w:kern w:val="0"/>
          <w:sz w:val="30"/>
          <w:szCs w:val="30"/>
        </w:rPr>
        <w:t>二）项目支出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168.80</w:t>
      </w:r>
      <w:r>
        <w:rPr>
          <w:rFonts w:ascii="仿宋" w:eastAsia="仿宋" w:hAnsi="仿宋" w:hint="eastAsia"/>
          <w:sz w:val="30"/>
          <w:szCs w:val="30"/>
        </w:rPr>
        <w:t>万元</w:t>
      </w:r>
    </w:p>
    <w:p w:rsidR="001C6AAC" w:rsidRDefault="00125E47">
      <w:pPr>
        <w:ind w:firstLine="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年“三公”经费预算数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0.5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万元，其中：公务接待费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0.5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万元，差旅费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0,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办公费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hint="eastAsia"/>
          <w:sz w:val="30"/>
          <w:szCs w:val="30"/>
        </w:rPr>
        <w:t>，维修、会议、工会等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万元；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分别为公共财政拨款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0.5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万元，其他收入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万元；公务用车购置及运行维护费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万元，在其他收入中列支，“三公”经费预算与上年持平。</w:t>
      </w:r>
    </w:p>
    <w:p w:rsidR="001C6AAC" w:rsidRDefault="001C6AAC">
      <w:pPr>
        <w:ind w:firstLineChars="250" w:firstLine="750"/>
        <w:rPr>
          <w:rFonts w:ascii="宋体" w:cs="宋体"/>
          <w:kern w:val="0"/>
          <w:sz w:val="30"/>
          <w:szCs w:val="30"/>
        </w:rPr>
      </w:pPr>
    </w:p>
    <w:p w:rsidR="001C6AAC" w:rsidRDefault="00125E47">
      <w:pPr>
        <w:jc w:val="left"/>
        <w:rPr>
          <w:rFonts w:ascii="仿宋" w:eastAsia="仿宋" w:hAnsi="仿宋"/>
          <w:b/>
          <w:sz w:val="30"/>
          <w:szCs w:val="24"/>
        </w:rPr>
      </w:pPr>
      <w:r>
        <w:rPr>
          <w:rFonts w:ascii="仿宋" w:eastAsia="仿宋" w:hAnsi="仿宋" w:hint="eastAsia"/>
          <w:b/>
          <w:sz w:val="30"/>
          <w:szCs w:val="24"/>
        </w:rPr>
        <w:t>三、部门整体支出绩效情况</w:t>
      </w:r>
    </w:p>
    <w:p w:rsidR="001C6AAC" w:rsidRDefault="00125E47">
      <w:pPr>
        <w:ind w:firstLineChars="250" w:firstLine="75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t>1</w:t>
      </w:r>
      <w:r>
        <w:rPr>
          <w:rFonts w:ascii="仿宋" w:eastAsia="仿宋" w:hAnsi="仿宋" w:hint="eastAsia"/>
          <w:sz w:val="30"/>
          <w:szCs w:val="24"/>
        </w:rPr>
        <w:t>、认真执行了年初部门预算和财政政策要求。工作经费安排严格按照年初预算来执行，有效防止了超预算；认真学习财经法规，严格执行财经纪律，防止了违法违纪行为的发生；认真落实了有关资金要求。</w:t>
      </w:r>
    </w:p>
    <w:p w:rsidR="001C6AAC" w:rsidRDefault="00125E47">
      <w:pPr>
        <w:ind w:firstLineChars="200" w:firstLine="60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t>2</w:t>
      </w:r>
      <w:r>
        <w:rPr>
          <w:rFonts w:ascii="仿宋" w:eastAsia="仿宋" w:hAnsi="仿宋" w:hint="eastAsia"/>
          <w:sz w:val="30"/>
          <w:szCs w:val="24"/>
        </w:rPr>
        <w:t>、保障了单位有效运转。严格按照厉行节约的要求，精打细算，规范单位事务管理工作，提高服务质量，降低运行成本，合理配置，提高保障能力。</w:t>
      </w:r>
    </w:p>
    <w:p w:rsidR="001C6AAC" w:rsidRDefault="00125E47">
      <w:pPr>
        <w:jc w:val="left"/>
        <w:rPr>
          <w:rFonts w:ascii="仿宋" w:eastAsia="仿宋" w:hAnsi="仿宋"/>
          <w:color w:val="1B1B1B"/>
          <w:sz w:val="30"/>
          <w:szCs w:val="24"/>
          <w:shd w:val="clear" w:color="auto" w:fill="FFFFFF"/>
        </w:rPr>
      </w:pPr>
      <w:r>
        <w:rPr>
          <w:rStyle w:val="a3"/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lastRenderedPageBreak/>
        <w:t>四、部门专项组织实施情况</w:t>
      </w:r>
      <w:r>
        <w:rPr>
          <w:rFonts w:ascii="仿宋" w:eastAsia="仿宋" w:hAnsi="仿宋"/>
          <w:color w:val="1B1B1B"/>
          <w:sz w:val="30"/>
          <w:szCs w:val="24"/>
          <w:shd w:val="clear" w:color="auto" w:fill="FFFFFF"/>
        </w:rPr>
        <w:br/>
      </w:r>
      <w:r>
        <w:rPr>
          <w:rFonts w:ascii="仿宋" w:eastAsia="仿宋" w:hAnsi="仿宋" w:hint="eastAsia"/>
          <w:sz w:val="30"/>
          <w:szCs w:val="24"/>
        </w:rPr>
        <w:t xml:space="preserve">　　总的来说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福利中心财务管理较为严格，建立了《财务管理制度》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并严格按照市财政局和民政局制定的公务接待、差旅费、培训费、会议费等相关管理办法，规范了公务支出管理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。</w:t>
      </w:r>
      <w:r>
        <w:rPr>
          <w:rFonts w:ascii="仿宋" w:eastAsia="仿宋" w:hAnsi="仿宋" w:hint="eastAsia"/>
          <w:sz w:val="30"/>
          <w:szCs w:val="24"/>
        </w:rPr>
        <w:t>严格履行财务审批手续，做到了无计划安排不报账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无领导审批不报账，无经手人签字不报账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不符合财务规定的发票、票据不报账。经费的开支管理及费用报销均严格执行相关制度规定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坚持勤俭节约，确保资金的规范使用与安全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。</w:t>
      </w:r>
    </w:p>
    <w:p w:rsidR="001C6AAC" w:rsidRDefault="00125E47">
      <w:pPr>
        <w:rPr>
          <w:rFonts w:ascii="仿宋" w:eastAsia="仿宋" w:hAnsi="仿宋"/>
          <w:sz w:val="30"/>
          <w:szCs w:val="24"/>
        </w:rPr>
      </w:pPr>
      <w:r>
        <w:rPr>
          <w:rStyle w:val="a3"/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五、存在的问题</w:t>
      </w:r>
      <w:r>
        <w:rPr>
          <w:rFonts w:ascii="仿宋" w:eastAsia="仿宋" w:hAnsi="仿宋"/>
          <w:color w:val="1B1B1B"/>
          <w:sz w:val="30"/>
          <w:szCs w:val="24"/>
          <w:shd w:val="clear" w:color="auto" w:fill="FFFFFF"/>
        </w:rPr>
        <w:br/>
      </w:r>
      <w:r>
        <w:rPr>
          <w:rFonts w:ascii="仿宋" w:eastAsia="仿宋" w:hAnsi="仿宋" w:hint="eastAsia"/>
          <w:sz w:val="30"/>
          <w:szCs w:val="24"/>
        </w:rPr>
        <w:t xml:space="preserve">　</w:t>
      </w:r>
      <w:r>
        <w:rPr>
          <w:rFonts w:ascii="仿宋" w:eastAsia="仿宋" w:hAnsi="仿宋"/>
          <w:sz w:val="30"/>
          <w:szCs w:val="24"/>
        </w:rPr>
        <w:t xml:space="preserve"> 1</w:t>
      </w:r>
      <w:r>
        <w:rPr>
          <w:rFonts w:ascii="仿宋" w:eastAsia="仿宋" w:hAnsi="仿宋" w:hint="eastAsia"/>
          <w:sz w:val="30"/>
          <w:szCs w:val="24"/>
        </w:rPr>
        <w:t>、从单位运转情况看：预算标准与部门支出有差距，在执行过程中，有关实际支出超过预算标准。“三公”经费大幅度下降，但仍然有压缩空间。</w:t>
      </w:r>
    </w:p>
    <w:p w:rsidR="001C6AAC" w:rsidRDefault="00125E47">
      <w:pPr>
        <w:ind w:firstLineChars="150" w:firstLine="45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t>2</w:t>
      </w:r>
      <w:r>
        <w:rPr>
          <w:rFonts w:ascii="仿宋" w:eastAsia="仿宋" w:hAnsi="仿宋" w:hint="eastAsia"/>
          <w:sz w:val="30"/>
          <w:szCs w:val="24"/>
        </w:rPr>
        <w:t>、从财政职能方面看：财政收支矛盾仍然突出，地方财政风险加大。</w:t>
      </w:r>
    </w:p>
    <w:p w:rsidR="001C6AAC" w:rsidRDefault="00125E47">
      <w:pPr>
        <w:ind w:firstLineChars="150" w:firstLine="450"/>
        <w:rPr>
          <w:rFonts w:ascii="仿宋" w:eastAsia="仿宋" w:hAnsi="仿宋"/>
          <w:color w:val="1B1B1B"/>
          <w:sz w:val="30"/>
          <w:szCs w:val="24"/>
          <w:shd w:val="clear" w:color="auto" w:fill="FFFFFF"/>
        </w:rPr>
      </w:pPr>
      <w:r>
        <w:rPr>
          <w:rFonts w:ascii="仿宋" w:eastAsia="仿宋" w:hAnsi="仿宋"/>
          <w:color w:val="323232"/>
          <w:sz w:val="30"/>
          <w:szCs w:val="24"/>
          <w:shd w:val="clear" w:color="auto" w:fill="FFFFFF"/>
        </w:rPr>
        <w:t>3</w:t>
      </w:r>
      <w:r>
        <w:rPr>
          <w:rFonts w:ascii="仿宋" w:eastAsia="仿宋" w:hAnsi="仿宋" w:hint="eastAsia"/>
          <w:color w:val="323232"/>
          <w:sz w:val="30"/>
          <w:szCs w:val="24"/>
          <w:shd w:val="clear" w:color="auto" w:fill="FFFFFF"/>
        </w:rPr>
        <w:t>、“医养结合”是把传统养老服务与医疗服务有机结合在一起的一种新型养老模式，与传统的养老模式相比，增强了医疗康复的功能，具有疾病预防、健康检查、病程护理、大病护理及临终关怀等服务功能。普通的养老机构收费较低，属于社会福利性机构，利润很小，主要靠政府补助。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 xml:space="preserve">　</w:t>
      </w:r>
    </w:p>
    <w:p w:rsidR="001C6AAC" w:rsidRDefault="00125E47">
      <w:pPr>
        <w:rPr>
          <w:rFonts w:ascii="仿宋" w:eastAsia="仿宋" w:hAnsi="仿宋"/>
          <w:b/>
          <w:sz w:val="30"/>
          <w:szCs w:val="24"/>
        </w:rPr>
      </w:pPr>
      <w:r>
        <w:rPr>
          <w:rFonts w:ascii="仿宋" w:eastAsia="仿宋" w:hAnsi="仿宋" w:hint="eastAsia"/>
          <w:sz w:val="30"/>
          <w:szCs w:val="24"/>
        </w:rPr>
        <w:t>六、</w:t>
      </w:r>
      <w:r>
        <w:rPr>
          <w:rFonts w:ascii="仿宋" w:eastAsia="仿宋" w:hAnsi="仿宋" w:hint="eastAsia"/>
          <w:b/>
          <w:sz w:val="30"/>
          <w:szCs w:val="24"/>
        </w:rPr>
        <w:t>改进措施和有关建议</w:t>
      </w:r>
    </w:p>
    <w:p w:rsidR="001C6AAC" w:rsidRDefault="00125E47">
      <w:pPr>
        <w:ind w:firstLineChars="150" w:firstLine="45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t>1</w:t>
      </w:r>
      <w:r>
        <w:rPr>
          <w:rFonts w:ascii="仿宋" w:eastAsia="仿宋" w:hAnsi="仿宋" w:hint="eastAsia"/>
          <w:sz w:val="30"/>
          <w:szCs w:val="24"/>
        </w:rPr>
        <w:t>、加强管理，严控支出。目前三公经费的预算执行情况较好，但仍需进一步严控三公经费支出，严格三公经费支出的审批流程，进一步细化三公经费的管理。</w:t>
      </w:r>
      <w:bookmarkStart w:id="0" w:name="_GoBack"/>
      <w:bookmarkEnd w:id="0"/>
    </w:p>
    <w:p w:rsidR="001C6AAC" w:rsidRDefault="00125E47">
      <w:pPr>
        <w:ind w:firstLineChars="150" w:firstLine="45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t>2</w:t>
      </w:r>
      <w:r>
        <w:rPr>
          <w:rFonts w:ascii="仿宋" w:eastAsia="仿宋" w:hAnsi="仿宋" w:hint="eastAsia"/>
          <w:sz w:val="30"/>
          <w:szCs w:val="24"/>
        </w:rPr>
        <w:t>、科学理财，强化职能作用。积极推进账务决算公开，不断提高理财透明度；严格兑现各项减税降费政策，增强单位发展动力。</w:t>
      </w:r>
    </w:p>
    <w:p w:rsidR="001C6AAC" w:rsidRDefault="001C6AAC">
      <w:pPr>
        <w:ind w:firstLineChars="150" w:firstLine="450"/>
        <w:rPr>
          <w:rFonts w:ascii="仿宋" w:eastAsia="仿宋" w:hAnsi="仿宋"/>
          <w:sz w:val="30"/>
          <w:szCs w:val="24"/>
        </w:rPr>
      </w:pPr>
    </w:p>
    <w:p w:rsidR="001C6AAC" w:rsidRDefault="001C6AAC">
      <w:pPr>
        <w:ind w:firstLineChars="150" w:firstLine="450"/>
        <w:rPr>
          <w:rFonts w:ascii="仿宋" w:eastAsia="仿宋" w:hAnsi="仿宋"/>
          <w:sz w:val="30"/>
          <w:szCs w:val="24"/>
        </w:rPr>
      </w:pPr>
    </w:p>
    <w:p w:rsidR="001C6AAC" w:rsidRDefault="001C6AAC">
      <w:pPr>
        <w:ind w:firstLineChars="150" w:firstLine="450"/>
        <w:rPr>
          <w:rFonts w:ascii="仿宋" w:eastAsia="仿宋" w:hAnsi="仿宋"/>
          <w:sz w:val="30"/>
          <w:szCs w:val="24"/>
        </w:rPr>
      </w:pPr>
    </w:p>
    <w:p w:rsidR="001C6AAC" w:rsidRDefault="00125E47">
      <w:pPr>
        <w:ind w:firstLineChars="150" w:firstLine="450"/>
        <w:jc w:val="righ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 w:hint="eastAsia"/>
          <w:sz w:val="30"/>
          <w:szCs w:val="24"/>
        </w:rPr>
        <w:t>沅江市社会福利中心</w:t>
      </w:r>
    </w:p>
    <w:p w:rsidR="001C6AAC" w:rsidRDefault="00125E47">
      <w:pPr>
        <w:ind w:firstLineChars="150" w:firstLine="450"/>
        <w:jc w:val="righ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t>202</w:t>
      </w:r>
      <w:r>
        <w:rPr>
          <w:rFonts w:ascii="仿宋" w:eastAsia="仿宋" w:hAnsi="仿宋" w:hint="eastAsia"/>
          <w:sz w:val="30"/>
          <w:szCs w:val="24"/>
        </w:rPr>
        <w:t>1</w:t>
      </w:r>
      <w:r>
        <w:rPr>
          <w:rFonts w:ascii="仿宋" w:eastAsia="仿宋" w:hAnsi="仿宋" w:hint="eastAsia"/>
          <w:sz w:val="30"/>
          <w:szCs w:val="24"/>
        </w:rPr>
        <w:t>年</w:t>
      </w:r>
      <w:r>
        <w:rPr>
          <w:rFonts w:ascii="仿宋" w:eastAsia="仿宋" w:hAnsi="仿宋"/>
          <w:sz w:val="30"/>
          <w:szCs w:val="24"/>
        </w:rPr>
        <w:t>8</w:t>
      </w:r>
      <w:r>
        <w:rPr>
          <w:rFonts w:ascii="仿宋" w:eastAsia="仿宋" w:hAnsi="仿宋" w:hint="eastAsia"/>
          <w:sz w:val="30"/>
          <w:szCs w:val="24"/>
        </w:rPr>
        <w:t>月</w:t>
      </w:r>
      <w:r>
        <w:rPr>
          <w:rFonts w:ascii="仿宋" w:eastAsia="仿宋" w:hAnsi="仿宋" w:hint="eastAsia"/>
          <w:sz w:val="30"/>
          <w:szCs w:val="24"/>
        </w:rPr>
        <w:t>9</w:t>
      </w:r>
      <w:r>
        <w:rPr>
          <w:rFonts w:ascii="仿宋" w:eastAsia="仿宋" w:hAnsi="仿宋" w:hint="eastAsia"/>
          <w:sz w:val="30"/>
          <w:szCs w:val="24"/>
        </w:rPr>
        <w:t>日</w:t>
      </w:r>
    </w:p>
    <w:sectPr w:rsidR="001C6AAC" w:rsidSect="001C6AAC">
      <w:pgSz w:w="12240" w:h="15840"/>
      <w:pgMar w:top="1440" w:right="1633" w:bottom="1440" w:left="15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4DBEF8"/>
    <w:multiLevelType w:val="multilevel"/>
    <w:tmpl w:val="824DBEF8"/>
    <w:lvl w:ilvl="0">
      <w:start w:val="1"/>
      <w:numFmt w:val="decimal"/>
      <w:suff w:val="nothing"/>
      <w:lvlText w:val="%1、"/>
      <w:lvlJc w:val="left"/>
      <w:rPr>
        <w:rFonts w:cs="Times New Roman"/>
      </w:rPr>
    </w:lvl>
    <w:lvl w:ilvl="1">
      <w:start w:val="1"/>
      <w:numFmt w:val="decimal"/>
      <w:lvlText w:val="、"/>
      <w:lvlJc w:val="left"/>
      <w:rPr>
        <w:rFonts w:cs="Times New Roman"/>
      </w:rPr>
    </w:lvl>
    <w:lvl w:ilvl="2">
      <w:start w:val="1"/>
      <w:numFmt w:val="decimal"/>
      <w:lvlText w:val="、"/>
      <w:lvlJc w:val="left"/>
      <w:rPr>
        <w:rFonts w:cs="Times New Roman"/>
      </w:rPr>
    </w:lvl>
    <w:lvl w:ilvl="3">
      <w:start w:val="1"/>
      <w:numFmt w:val="decimal"/>
      <w:lvlText w:val="、"/>
      <w:lvlJc w:val="left"/>
      <w:rPr>
        <w:rFonts w:cs="Times New Roman"/>
      </w:rPr>
    </w:lvl>
    <w:lvl w:ilvl="4">
      <w:start w:val="1"/>
      <w:numFmt w:val="decimal"/>
      <w:lvlText w:val="、"/>
      <w:lvlJc w:val="left"/>
      <w:rPr>
        <w:rFonts w:cs="Times New Roman"/>
      </w:rPr>
    </w:lvl>
    <w:lvl w:ilvl="5">
      <w:start w:val="1"/>
      <w:numFmt w:val="decimal"/>
      <w:lvlText w:val="、"/>
      <w:lvlJc w:val="left"/>
      <w:rPr>
        <w:rFonts w:cs="Times New Roman"/>
      </w:rPr>
    </w:lvl>
    <w:lvl w:ilvl="6">
      <w:start w:val="1"/>
      <w:numFmt w:val="decimal"/>
      <w:lvlText w:val="、"/>
      <w:lvlJc w:val="left"/>
      <w:rPr>
        <w:rFonts w:cs="Times New Roman"/>
      </w:rPr>
    </w:lvl>
    <w:lvl w:ilvl="7">
      <w:start w:val="1"/>
      <w:numFmt w:val="decimal"/>
      <w:lvlText w:val="、"/>
      <w:lvlJc w:val="left"/>
      <w:rPr>
        <w:rFonts w:cs="Times New Roman"/>
      </w:rPr>
    </w:lvl>
    <w:lvl w:ilvl="8">
      <w:start w:val="1"/>
      <w:numFmt w:val="decimal"/>
      <w:lvlText w:val="、"/>
      <w:lvlJc w:val="left"/>
      <w:rPr>
        <w:rFonts w:cs="Times New Roman"/>
      </w:rPr>
    </w:lvl>
  </w:abstractNum>
  <w:abstractNum w:abstractNumId="1">
    <w:nsid w:val="FA7AA2E3"/>
    <w:multiLevelType w:val="multilevel"/>
    <w:tmpl w:val="FA7AA2E3"/>
    <w:lvl w:ilvl="0">
      <w:start w:val="1"/>
      <w:numFmt w:val="chineseCounting"/>
      <w:suff w:val="nothing"/>
      <w:lvlText w:val="%1、"/>
      <w:lvlJc w:val="left"/>
      <w:rPr>
        <w:rFonts w:cs="Times New Roman"/>
      </w:rPr>
    </w:lvl>
    <w:lvl w:ilvl="1">
      <w:start w:val="1"/>
      <w:numFmt w:val="decimal"/>
      <w:lvlText w:val="、"/>
      <w:lvlJc w:val="left"/>
      <w:rPr>
        <w:rFonts w:cs="Times New Roman"/>
      </w:rPr>
    </w:lvl>
    <w:lvl w:ilvl="2">
      <w:start w:val="1"/>
      <w:numFmt w:val="decimal"/>
      <w:lvlText w:val="、"/>
      <w:lvlJc w:val="left"/>
      <w:rPr>
        <w:rFonts w:cs="Times New Roman"/>
      </w:rPr>
    </w:lvl>
    <w:lvl w:ilvl="3">
      <w:start w:val="1"/>
      <w:numFmt w:val="decimal"/>
      <w:lvlText w:val="、"/>
      <w:lvlJc w:val="left"/>
      <w:rPr>
        <w:rFonts w:cs="Times New Roman"/>
      </w:rPr>
    </w:lvl>
    <w:lvl w:ilvl="4">
      <w:start w:val="1"/>
      <w:numFmt w:val="decimal"/>
      <w:lvlText w:val="、"/>
      <w:lvlJc w:val="left"/>
      <w:rPr>
        <w:rFonts w:cs="Times New Roman"/>
      </w:rPr>
    </w:lvl>
    <w:lvl w:ilvl="5">
      <w:start w:val="1"/>
      <w:numFmt w:val="decimal"/>
      <w:lvlText w:val="、"/>
      <w:lvlJc w:val="left"/>
      <w:rPr>
        <w:rFonts w:cs="Times New Roman"/>
      </w:rPr>
    </w:lvl>
    <w:lvl w:ilvl="6">
      <w:start w:val="1"/>
      <w:numFmt w:val="decimal"/>
      <w:lvlText w:val="、"/>
      <w:lvlJc w:val="left"/>
      <w:rPr>
        <w:rFonts w:cs="Times New Roman"/>
      </w:rPr>
    </w:lvl>
    <w:lvl w:ilvl="7">
      <w:start w:val="1"/>
      <w:numFmt w:val="decimal"/>
      <w:lvlText w:val="、"/>
      <w:lvlJc w:val="left"/>
      <w:rPr>
        <w:rFonts w:cs="Times New Roman"/>
      </w:rPr>
    </w:lvl>
    <w:lvl w:ilvl="8">
      <w:start w:val="1"/>
      <w:numFmt w:val="decimal"/>
      <w:lvlText w:val="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D68BF"/>
    <w:rsid w:val="00125E47"/>
    <w:rsid w:val="001C6AAC"/>
    <w:rsid w:val="00395571"/>
    <w:rsid w:val="00446305"/>
    <w:rsid w:val="004753A1"/>
    <w:rsid w:val="00741755"/>
    <w:rsid w:val="008467FA"/>
    <w:rsid w:val="00AD68BF"/>
    <w:rsid w:val="00B156D5"/>
    <w:rsid w:val="00B2530E"/>
    <w:rsid w:val="00B35550"/>
    <w:rsid w:val="00D16F88"/>
    <w:rsid w:val="19C60FAD"/>
    <w:rsid w:val="2DE9526A"/>
    <w:rsid w:val="35182C94"/>
    <w:rsid w:val="617B34E1"/>
    <w:rsid w:val="68D0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 w:qFormat="0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No Spacing" w:semiHidden="1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nhideWhenUsed="1" w:qFormat="0"/>
    <w:lsdException w:name="List Paragraph" w:semiHidden="1" w:unhideWhenUsed="1" w:qFormat="0"/>
    <w:lsdException w:name="Quote" w:semiHidden="1" w:unhideWhenUsed="1" w:qFormat="0"/>
    <w:lsdException w:name="Intense Quote" w:semiHidden="1" w:unhideWhenUsed="1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sid w:val="001C6AAC"/>
    <w:pPr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C6AAC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2019-07-17T01:36:00Z</cp:lastPrinted>
  <dcterms:created xsi:type="dcterms:W3CDTF">2022-09-05T02:46:00Z</dcterms:created>
  <dcterms:modified xsi:type="dcterms:W3CDTF">2022-09-05T02:46:00Z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D79CEDD6214F44B788623E458494F10E</vt:lpwstr>
  </property>
</Properties>
</file>