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81" w:rsidRDefault="00EB0E81">
      <w:pPr>
        <w:jc w:val="center"/>
        <w:rPr>
          <w:b/>
          <w:color w:val="FFFFFF"/>
          <w:spacing w:val="16"/>
          <w:sz w:val="56"/>
          <w:szCs w:val="56"/>
        </w:rPr>
      </w:pPr>
    </w:p>
    <w:p w:rsidR="00EB0E81" w:rsidRDefault="00B643AD">
      <w:pPr>
        <w:jc w:val="center"/>
        <w:rPr>
          <w:b/>
          <w:color w:val="FFFFFF"/>
          <w:spacing w:val="16"/>
          <w:sz w:val="28"/>
          <w:szCs w:val="28"/>
        </w:rPr>
      </w:pPr>
      <w:r>
        <w:rPr>
          <w:b/>
          <w:color w:val="FFFFFF"/>
          <w:spacing w:val="16"/>
          <w:sz w:val="56"/>
          <w:szCs w:val="56"/>
        </w:rPr>
        <w:t xml:space="preserve"> </w:t>
      </w:r>
    </w:p>
    <w:p w:rsidR="00EB0E81" w:rsidRDefault="00EB0E81">
      <w:pPr>
        <w:pStyle w:val="a0"/>
        <w:rPr>
          <w:b/>
          <w:color w:val="FFFFFF"/>
          <w:spacing w:val="16"/>
          <w:sz w:val="28"/>
          <w:szCs w:val="28"/>
        </w:rPr>
      </w:pPr>
    </w:p>
    <w:p w:rsidR="00EB0E81" w:rsidRDefault="00EB0E81">
      <w:pPr>
        <w:jc w:val="center"/>
        <w:rPr>
          <w:rFonts w:ascii="仿宋_GB2312" w:eastAsia="仿宋_GB2312" w:hAnsi="仿宋_GB2312" w:cs="Times New Roman"/>
          <w:bCs/>
          <w:sz w:val="13"/>
          <w:szCs w:val="13"/>
        </w:rPr>
      </w:pPr>
    </w:p>
    <w:p w:rsidR="00EB0E81" w:rsidRDefault="00B643AD">
      <w:pPr>
        <w:jc w:val="center"/>
        <w:rPr>
          <w:rFonts w:ascii="仿宋_GB2312" w:eastAsia="仿宋_GB2312" w:hAnsi="仿宋_GB2312" w:cs="Times New Roman"/>
          <w:bCs/>
          <w:sz w:val="28"/>
          <w:szCs w:val="28"/>
        </w:rPr>
      </w:pPr>
      <w:proofErr w:type="gramStart"/>
      <w:r>
        <w:rPr>
          <w:rFonts w:ascii="仿宋_GB2312" w:eastAsia="仿宋_GB2312" w:hAnsi="仿宋_GB2312" w:cs="Times New Roman" w:hint="eastAsia"/>
          <w:bCs/>
          <w:sz w:val="28"/>
          <w:szCs w:val="28"/>
        </w:rPr>
        <w:t>天盈和</w:t>
      </w:r>
      <w:proofErr w:type="gramEnd"/>
      <w:r>
        <w:rPr>
          <w:rFonts w:ascii="仿宋_GB2312" w:eastAsia="仿宋_GB2312" w:hAnsi="仿宋_GB2312" w:cs="Times New Roman" w:hint="eastAsia"/>
          <w:bCs/>
          <w:sz w:val="28"/>
          <w:szCs w:val="28"/>
        </w:rPr>
        <w:t>专审字[2021]0229号</w:t>
      </w:r>
    </w:p>
    <w:p w:rsidR="00EB0E81" w:rsidRDefault="00EB0E81">
      <w:pPr>
        <w:jc w:val="center"/>
        <w:rPr>
          <w:rFonts w:eastAsia="黑体"/>
          <w:b/>
          <w:sz w:val="24"/>
          <w:szCs w:val="24"/>
        </w:rPr>
      </w:pPr>
    </w:p>
    <w:p w:rsidR="00EB0E81" w:rsidRDefault="00B643AD">
      <w:pPr>
        <w:jc w:val="center"/>
        <w:rPr>
          <w:rFonts w:ascii="宋体" w:eastAsia="宋体" w:hAnsi="宋体" w:cs="宋体"/>
          <w:b/>
          <w:sz w:val="36"/>
          <w:szCs w:val="36"/>
        </w:rPr>
      </w:pPr>
      <w:r>
        <w:rPr>
          <w:rFonts w:ascii="宋体" w:eastAsia="宋体" w:hAnsi="宋体" w:cs="宋体" w:hint="eastAsia"/>
          <w:b/>
          <w:sz w:val="36"/>
          <w:szCs w:val="36"/>
        </w:rPr>
        <w:t>沅江市船舶制造产业园管理委员会</w:t>
      </w:r>
    </w:p>
    <w:p w:rsidR="00EB0E81" w:rsidRDefault="00B643AD">
      <w:pPr>
        <w:jc w:val="center"/>
        <w:rPr>
          <w:rFonts w:asciiTheme="majorEastAsia" w:eastAsiaTheme="majorEastAsia" w:hAnsiTheme="majorEastAsia"/>
          <w:b/>
          <w:sz w:val="36"/>
          <w:szCs w:val="36"/>
        </w:rPr>
      </w:pPr>
      <w:r>
        <w:rPr>
          <w:rFonts w:ascii="宋体" w:eastAsia="宋体" w:hAnsi="宋体" w:cs="宋体" w:hint="eastAsia"/>
          <w:b/>
          <w:sz w:val="36"/>
          <w:szCs w:val="36"/>
        </w:rPr>
        <w:t>2020年度单位专项资金绩效评价报告</w:t>
      </w:r>
    </w:p>
    <w:p w:rsidR="00EB0E81" w:rsidRDefault="00EB0E81">
      <w:pPr>
        <w:jc w:val="center"/>
        <w:rPr>
          <w:rFonts w:ascii="仿宋_GB2312" w:eastAsia="仿宋_GB2312" w:hAnsi="仿宋_GB2312"/>
          <w:bCs/>
          <w:sz w:val="32"/>
          <w:szCs w:val="32"/>
        </w:rPr>
      </w:pPr>
    </w:p>
    <w:p w:rsidR="00EB0E81" w:rsidRDefault="00EB0E81">
      <w:pPr>
        <w:rPr>
          <w:rFonts w:ascii="仿宋_GB2312" w:eastAsia="仿宋_GB2312"/>
          <w:sz w:val="32"/>
          <w:szCs w:val="32"/>
        </w:rPr>
      </w:pPr>
    </w:p>
    <w:p w:rsidR="00EB0E81" w:rsidRDefault="00EB0E81">
      <w:pPr>
        <w:pStyle w:val="a0"/>
        <w:rPr>
          <w:rFonts w:ascii="仿宋_GB2312" w:eastAsia="仿宋_GB2312"/>
          <w:sz w:val="32"/>
          <w:szCs w:val="32"/>
        </w:rPr>
      </w:pPr>
    </w:p>
    <w:p w:rsidR="00EB0E81" w:rsidRDefault="00EB0E81">
      <w:pPr>
        <w:pStyle w:val="a0"/>
        <w:rPr>
          <w:rFonts w:ascii="仿宋_GB2312" w:eastAsia="仿宋_GB2312"/>
          <w:sz w:val="32"/>
          <w:szCs w:val="32"/>
        </w:rPr>
      </w:pPr>
    </w:p>
    <w:p w:rsidR="00EB0E81" w:rsidRDefault="00EB0E81">
      <w:pPr>
        <w:pStyle w:val="a0"/>
      </w:pPr>
    </w:p>
    <w:p w:rsidR="00EB0E81" w:rsidRDefault="00B643AD">
      <w:pPr>
        <w:ind w:firstLineChars="200" w:firstLine="640"/>
        <w:rPr>
          <w:rFonts w:ascii="仿宋_GB2312" w:eastAsia="仿宋_GB2312" w:hAnsi="仿宋_GB2312" w:cs="仿宋_GB2312"/>
          <w:sz w:val="32"/>
          <w:szCs w:val="32"/>
        </w:rPr>
      </w:pPr>
      <w:r>
        <w:rPr>
          <w:rFonts w:ascii="仿宋_GB2312" w:eastAsia="仿宋_GB2312" w:hint="eastAsia"/>
          <w:sz w:val="32"/>
          <w:szCs w:val="32"/>
        </w:rPr>
        <w:t>为全面掌握部门专项经费使用情况及取得的效果，进一步规划和加强财政资金管理，切实提高财政资金使用效益，根据《中共湖南省委办公厅 湖南省人民政府办公厅关于全面实施预算绩效管理的实施意见》（</w:t>
      </w:r>
      <w:proofErr w:type="gramStart"/>
      <w:r>
        <w:rPr>
          <w:rFonts w:ascii="仿宋_GB2312" w:eastAsia="仿宋_GB2312" w:hint="eastAsia"/>
          <w:sz w:val="32"/>
          <w:szCs w:val="32"/>
        </w:rPr>
        <w:t>湘办发</w:t>
      </w:r>
      <w:proofErr w:type="gramEnd"/>
      <w:r>
        <w:rPr>
          <w:rFonts w:ascii="仿宋_GB2312" w:eastAsia="仿宋_GB2312" w:hint="eastAsia"/>
          <w:sz w:val="32"/>
          <w:szCs w:val="32"/>
        </w:rPr>
        <w:t>〔2019〕10号）及沅江市财政局《关于开展2020年部门专项经费绩效评价工作的通知》（</w:t>
      </w:r>
      <w:proofErr w:type="gramStart"/>
      <w:r>
        <w:rPr>
          <w:rFonts w:ascii="仿宋_GB2312" w:eastAsia="仿宋_GB2312" w:hint="eastAsia"/>
          <w:sz w:val="32"/>
          <w:szCs w:val="32"/>
        </w:rPr>
        <w:t>沅财绩</w:t>
      </w:r>
      <w:proofErr w:type="gramEnd"/>
      <w:r>
        <w:rPr>
          <w:rFonts w:ascii="仿宋_GB2312" w:eastAsia="仿宋_GB2312" w:hint="eastAsia"/>
          <w:sz w:val="32"/>
          <w:szCs w:val="32"/>
        </w:rPr>
        <w:t>〔2021〕3号）等文件精神，</w:t>
      </w:r>
      <w:proofErr w:type="gramStart"/>
      <w:r>
        <w:rPr>
          <w:rFonts w:ascii="仿宋_GB2312" w:eastAsia="仿宋_GB2312" w:hAnsi="宋体" w:hint="eastAsia"/>
          <w:sz w:val="32"/>
          <w:szCs w:val="32"/>
        </w:rPr>
        <w:t>湖南天盈和</w:t>
      </w:r>
      <w:proofErr w:type="gramEnd"/>
      <w:r>
        <w:rPr>
          <w:rFonts w:ascii="仿宋_GB2312" w:eastAsia="仿宋_GB2312" w:hAnsi="宋体" w:hint="eastAsia"/>
          <w:sz w:val="32"/>
          <w:szCs w:val="32"/>
        </w:rPr>
        <w:t>会计师事务所接受沅江市财政局委托，</w:t>
      </w:r>
      <w:r>
        <w:rPr>
          <w:rFonts w:ascii="仿宋_GB2312" w:eastAsia="仿宋_GB2312" w:hAnsi="仿宋_GB2312" w:cs="仿宋_GB2312" w:hint="eastAsia"/>
          <w:sz w:val="32"/>
          <w:szCs w:val="32"/>
        </w:rPr>
        <w:t>对沅江市船舶制造产业园管理委员会（以下简称“船舶园”）专项资金进行了绩效评价，现将有关情况报告如下：</w:t>
      </w:r>
    </w:p>
    <w:p w:rsidR="00EB0E81" w:rsidRDefault="00B643AD">
      <w:pPr>
        <w:ind w:firstLineChars="200" w:firstLine="643"/>
        <w:rPr>
          <w:rFonts w:ascii="黑体" w:eastAsia="黑体" w:hAnsi="黑体"/>
          <w:b/>
          <w:bCs/>
          <w:sz w:val="32"/>
          <w:szCs w:val="32"/>
        </w:rPr>
      </w:pPr>
      <w:r>
        <w:rPr>
          <w:rFonts w:ascii="黑体" w:eastAsia="黑体" w:hAnsi="黑体" w:hint="eastAsia"/>
          <w:b/>
          <w:bCs/>
          <w:sz w:val="32"/>
          <w:szCs w:val="32"/>
        </w:rPr>
        <w:t>一、项目基本情况</w:t>
      </w:r>
    </w:p>
    <w:p w:rsidR="00EB0E81" w:rsidRDefault="00B643AD">
      <w:pPr>
        <w:ind w:firstLineChars="200" w:firstLine="643"/>
        <w:rPr>
          <w:rFonts w:ascii="仿宋_GB2312" w:eastAsia="仿宋_GB2312"/>
          <w:b/>
          <w:sz w:val="32"/>
          <w:szCs w:val="32"/>
        </w:rPr>
      </w:pPr>
      <w:r>
        <w:rPr>
          <w:rFonts w:ascii="仿宋_GB2312" w:eastAsia="仿宋_GB2312" w:hint="eastAsia"/>
          <w:b/>
          <w:sz w:val="32"/>
          <w:szCs w:val="32"/>
        </w:rPr>
        <w:t>（一）项目概况</w:t>
      </w:r>
    </w:p>
    <w:p w:rsidR="00EB0E81" w:rsidRDefault="00B64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沅江市于2019年4月进行融资平台公司改革转型，</w:t>
      </w:r>
      <w:proofErr w:type="gramStart"/>
      <w:r>
        <w:rPr>
          <w:rFonts w:ascii="仿宋_GB2312" w:eastAsia="仿宋_GB2312" w:hAnsi="仿宋_GB2312" w:cs="仿宋_GB2312" w:hint="eastAsia"/>
          <w:sz w:val="32"/>
          <w:szCs w:val="32"/>
        </w:rPr>
        <w:t>船舶园</w:t>
      </w:r>
      <w:proofErr w:type="gramEnd"/>
      <w:r>
        <w:rPr>
          <w:rFonts w:ascii="仿宋_GB2312" w:eastAsia="仿宋_GB2312" w:hAnsi="仿宋_GB2312" w:cs="仿宋_GB2312" w:hint="eastAsia"/>
          <w:sz w:val="32"/>
          <w:szCs w:val="32"/>
        </w:rPr>
        <w:t>原平台公司湖南沅江金洲船舶制造有限公司划转至湖南沅江桔城产业发展投资有限公司。改革转型前，</w:t>
      </w:r>
      <w:proofErr w:type="gramStart"/>
      <w:r>
        <w:rPr>
          <w:rFonts w:ascii="仿宋_GB2312" w:eastAsia="仿宋_GB2312" w:hAnsi="仿宋_GB2312" w:cs="仿宋_GB2312" w:hint="eastAsia"/>
          <w:sz w:val="32"/>
          <w:szCs w:val="32"/>
        </w:rPr>
        <w:t>船舶园</w:t>
      </w:r>
      <w:proofErr w:type="gramEnd"/>
      <w:r>
        <w:rPr>
          <w:rFonts w:ascii="仿宋_GB2312" w:eastAsia="仿宋_GB2312" w:hAnsi="仿宋_GB2312" w:cs="仿宋_GB2312" w:hint="eastAsia"/>
          <w:sz w:val="32"/>
          <w:szCs w:val="32"/>
        </w:rPr>
        <w:t>财政体制是在岗在编人数工资和基本人头经费纳入预算，专项经费由原平台公司湖南沅江金洲船舶制造有限公司负责。改革转型后，园区所有资产和建设项目已全部移交至湖南沅江桔城产业发展投资有限公司，</w:t>
      </w:r>
      <w:proofErr w:type="gramStart"/>
      <w:r>
        <w:rPr>
          <w:rFonts w:ascii="仿宋_GB2312" w:eastAsia="仿宋_GB2312" w:hAnsi="仿宋_GB2312" w:cs="仿宋_GB2312" w:hint="eastAsia"/>
          <w:sz w:val="32"/>
          <w:szCs w:val="32"/>
        </w:rPr>
        <w:t>船舶园负责</w:t>
      </w:r>
      <w:proofErr w:type="gramEnd"/>
      <w:r>
        <w:rPr>
          <w:rFonts w:ascii="仿宋_GB2312" w:eastAsia="仿宋_GB2312" w:hAnsi="仿宋_GB2312" w:cs="仿宋_GB2312" w:hint="eastAsia"/>
          <w:sz w:val="32"/>
          <w:szCs w:val="32"/>
        </w:rPr>
        <w:t>的产业发展、招商引资、企业服务等工作没有了资金来源。为了保障园区正常运转，</w:t>
      </w:r>
      <w:proofErr w:type="gramStart"/>
      <w:r>
        <w:rPr>
          <w:rFonts w:ascii="仿宋_GB2312" w:eastAsia="仿宋_GB2312" w:hAnsi="仿宋_GB2312" w:cs="仿宋_GB2312" w:hint="eastAsia"/>
          <w:sz w:val="32"/>
          <w:szCs w:val="32"/>
        </w:rPr>
        <w:t>船舶园根据</w:t>
      </w:r>
      <w:proofErr w:type="gramEnd"/>
      <w:r>
        <w:rPr>
          <w:rFonts w:ascii="仿宋_GB2312" w:eastAsia="仿宋_GB2312" w:hAnsi="仿宋_GB2312" w:cs="仿宋_GB2312" w:hint="eastAsia"/>
          <w:sz w:val="32"/>
          <w:szCs w:val="32"/>
        </w:rPr>
        <w:t>实际情况向沅江市人民政府申请将</w:t>
      </w:r>
      <w:proofErr w:type="gramStart"/>
      <w:r>
        <w:rPr>
          <w:rFonts w:ascii="仿宋_GB2312" w:eastAsia="仿宋_GB2312" w:hAnsi="仿宋_GB2312" w:cs="仿宋_GB2312" w:hint="eastAsia"/>
          <w:sz w:val="32"/>
          <w:szCs w:val="32"/>
        </w:rPr>
        <w:t>园区专项</w:t>
      </w:r>
      <w:proofErr w:type="gramEnd"/>
      <w:r>
        <w:rPr>
          <w:rFonts w:ascii="仿宋_GB2312" w:eastAsia="仿宋_GB2312" w:hAnsi="仿宋_GB2312" w:cs="仿宋_GB2312" w:hint="eastAsia"/>
          <w:sz w:val="32"/>
          <w:szCs w:val="32"/>
        </w:rPr>
        <w:t>经费纳入财政预算。</w:t>
      </w:r>
    </w:p>
    <w:p w:rsidR="00EB0E81" w:rsidRDefault="00B643AD">
      <w:pPr>
        <w:ind w:firstLineChars="200" w:firstLine="640"/>
        <w:rPr>
          <w:rFonts w:ascii="仿宋_GB2312" w:eastAsia="仿宋_GB2312"/>
          <w:bCs/>
          <w:sz w:val="32"/>
          <w:szCs w:val="32"/>
        </w:rPr>
      </w:pPr>
      <w:r>
        <w:rPr>
          <w:rFonts w:ascii="仿宋_GB2312" w:eastAsia="仿宋_GB2312" w:hAnsi="仿宋_GB2312" w:cs="仿宋_GB2312" w:hint="eastAsia"/>
          <w:sz w:val="32"/>
          <w:szCs w:val="32"/>
        </w:rPr>
        <w:t>根据《沅江市财政局关于批</w:t>
      </w:r>
      <w:r>
        <w:rPr>
          <w:rFonts w:ascii="仿宋_GB2312" w:eastAsia="仿宋_GB2312" w:hint="eastAsia"/>
          <w:bCs/>
          <w:sz w:val="32"/>
          <w:szCs w:val="32"/>
        </w:rPr>
        <w:t>复2020年部门预算的通知》（</w:t>
      </w:r>
      <w:proofErr w:type="gramStart"/>
      <w:r>
        <w:rPr>
          <w:rFonts w:ascii="仿宋_GB2312" w:eastAsia="仿宋_GB2312" w:hint="eastAsia"/>
          <w:bCs/>
          <w:sz w:val="32"/>
          <w:szCs w:val="32"/>
        </w:rPr>
        <w:t>沅</w:t>
      </w:r>
      <w:proofErr w:type="gramEnd"/>
      <w:r>
        <w:rPr>
          <w:rFonts w:ascii="仿宋_GB2312" w:eastAsia="仿宋_GB2312" w:hint="eastAsia"/>
          <w:bCs/>
          <w:sz w:val="32"/>
          <w:szCs w:val="32"/>
        </w:rPr>
        <w:t>财预〔2020〕3号）</w:t>
      </w:r>
      <w:proofErr w:type="gramStart"/>
      <w:r>
        <w:rPr>
          <w:rFonts w:ascii="仿宋_GB2312" w:eastAsia="仿宋_GB2312" w:hAnsi="仿宋_GB2312" w:cs="仿宋_GB2312" w:hint="eastAsia"/>
          <w:sz w:val="32"/>
          <w:szCs w:val="32"/>
        </w:rPr>
        <w:t>船舶园</w:t>
      </w:r>
      <w:proofErr w:type="gramEnd"/>
      <w:r>
        <w:rPr>
          <w:rFonts w:ascii="仿宋_GB2312" w:eastAsia="仿宋_GB2312" w:hint="eastAsia"/>
          <w:bCs/>
          <w:sz w:val="32"/>
          <w:szCs w:val="32"/>
        </w:rPr>
        <w:t>专项经费预算已经通过市十七届人民代表大会第四次会议审议批准，专项经费预算为290.65万元。</w:t>
      </w:r>
    </w:p>
    <w:p w:rsidR="00EB0E81" w:rsidRDefault="00B643AD">
      <w:pPr>
        <w:ind w:firstLineChars="200" w:firstLine="643"/>
        <w:rPr>
          <w:rFonts w:ascii="仿宋_GB2312" w:eastAsia="仿宋_GB2312"/>
          <w:b/>
          <w:sz w:val="32"/>
          <w:szCs w:val="32"/>
        </w:rPr>
      </w:pPr>
      <w:r>
        <w:rPr>
          <w:rFonts w:ascii="仿宋_GB2312" w:eastAsia="仿宋_GB2312" w:hint="eastAsia"/>
          <w:b/>
          <w:sz w:val="32"/>
          <w:szCs w:val="32"/>
        </w:rPr>
        <w:t>（二）项目绩效目标</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1、项目绩效总目标</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统筹园区产业发展及规划，不断优化园区发展环境，帮助企业排忧解难；完善基础设施，依托船舶特色产业，大力发展港口经济，推进重点项目建设，保障园区各项工作顺利开展。</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2、2020年度项目具体绩效目标</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根据</w:t>
      </w:r>
      <w:proofErr w:type="gramStart"/>
      <w:r>
        <w:rPr>
          <w:rFonts w:ascii="仿宋_GB2312" w:eastAsia="仿宋_GB2312" w:hint="eastAsia"/>
          <w:bCs/>
          <w:sz w:val="32"/>
          <w:szCs w:val="32"/>
        </w:rPr>
        <w:t>船舶园单位</w:t>
      </w:r>
      <w:proofErr w:type="gramEnd"/>
      <w:r>
        <w:rPr>
          <w:rFonts w:ascii="仿宋_GB2312" w:eastAsia="仿宋_GB2312" w:hint="eastAsia"/>
          <w:bCs/>
          <w:sz w:val="32"/>
          <w:szCs w:val="32"/>
        </w:rPr>
        <w:t>专项经费绩效总目标设立具体绩效目</w:t>
      </w:r>
      <w:r>
        <w:rPr>
          <w:rFonts w:ascii="仿宋_GB2312" w:eastAsia="仿宋_GB2312" w:hint="eastAsia"/>
          <w:bCs/>
          <w:sz w:val="32"/>
          <w:szCs w:val="32"/>
        </w:rPr>
        <w:lastRenderedPageBreak/>
        <w:t>标如下：</w:t>
      </w:r>
    </w:p>
    <w:p w:rsidR="00EB0E81" w:rsidRDefault="00B643AD">
      <w:pPr>
        <w:numPr>
          <w:ilvl w:val="0"/>
          <w:numId w:val="1"/>
        </w:numPr>
        <w:ind w:firstLine="640"/>
        <w:rPr>
          <w:rFonts w:ascii="仿宋_GB2312" w:eastAsia="仿宋_GB2312"/>
          <w:bCs/>
          <w:sz w:val="32"/>
          <w:szCs w:val="32"/>
        </w:rPr>
      </w:pPr>
      <w:r>
        <w:rPr>
          <w:rFonts w:ascii="仿宋_GB2312" w:eastAsia="仿宋_GB2312" w:hint="eastAsia"/>
          <w:bCs/>
          <w:sz w:val="32"/>
          <w:szCs w:val="32"/>
        </w:rPr>
        <w:t>着力打造中南地区规模最大、功能齐全、绿色环保的船舶制造及配套产业基地，不断优化发展环境，力争全年实现船舶工业总产值800,000.00万元，完成税收5,000.00万元。</w:t>
      </w:r>
    </w:p>
    <w:p w:rsidR="00EB0E81" w:rsidRDefault="00B643AD">
      <w:pPr>
        <w:numPr>
          <w:ilvl w:val="0"/>
          <w:numId w:val="1"/>
        </w:numPr>
        <w:ind w:firstLine="640"/>
        <w:rPr>
          <w:rFonts w:ascii="仿宋_GB2312" w:eastAsia="仿宋_GB2312"/>
          <w:bCs/>
          <w:sz w:val="32"/>
          <w:szCs w:val="32"/>
        </w:rPr>
      </w:pPr>
      <w:r>
        <w:rPr>
          <w:rFonts w:ascii="仿宋_GB2312" w:eastAsia="仿宋_GB2312" w:hint="eastAsia"/>
          <w:bCs/>
          <w:sz w:val="32"/>
          <w:szCs w:val="32"/>
        </w:rPr>
        <w:t>以银鱼三角帆蚌种质资源保护区完成调</w:t>
      </w:r>
      <w:proofErr w:type="gramStart"/>
      <w:r>
        <w:rPr>
          <w:rFonts w:ascii="仿宋_GB2312" w:eastAsia="仿宋_GB2312" w:hint="eastAsia"/>
          <w:bCs/>
          <w:sz w:val="32"/>
          <w:szCs w:val="32"/>
        </w:rPr>
        <w:t>规</w:t>
      </w:r>
      <w:proofErr w:type="gramEnd"/>
      <w:r>
        <w:rPr>
          <w:rFonts w:ascii="仿宋_GB2312" w:eastAsia="仿宋_GB2312" w:hint="eastAsia"/>
          <w:bCs/>
          <w:sz w:val="32"/>
          <w:szCs w:val="32"/>
        </w:rPr>
        <w:t>审批为契机，全力支持德旭、</w:t>
      </w:r>
      <w:proofErr w:type="gramStart"/>
      <w:r>
        <w:rPr>
          <w:rFonts w:ascii="仿宋_GB2312" w:eastAsia="仿宋_GB2312" w:hint="eastAsia"/>
          <w:bCs/>
          <w:sz w:val="32"/>
          <w:szCs w:val="32"/>
        </w:rPr>
        <w:t>厚普等</w:t>
      </w:r>
      <w:proofErr w:type="gramEnd"/>
      <w:r>
        <w:rPr>
          <w:rFonts w:ascii="仿宋_GB2312" w:eastAsia="仿宋_GB2312" w:hint="eastAsia"/>
          <w:bCs/>
          <w:sz w:val="32"/>
          <w:szCs w:val="32"/>
        </w:rPr>
        <w:t>新能源项目和海</w:t>
      </w:r>
      <w:proofErr w:type="gramStart"/>
      <w:r>
        <w:rPr>
          <w:rFonts w:ascii="仿宋_GB2312" w:eastAsia="仿宋_GB2312" w:hint="eastAsia"/>
          <w:bCs/>
          <w:sz w:val="32"/>
          <w:szCs w:val="32"/>
        </w:rPr>
        <w:t>荃</w:t>
      </w:r>
      <w:proofErr w:type="gramEnd"/>
      <w:r>
        <w:rPr>
          <w:rFonts w:ascii="仿宋_GB2312" w:eastAsia="仿宋_GB2312" w:hint="eastAsia"/>
          <w:bCs/>
          <w:sz w:val="32"/>
          <w:szCs w:val="32"/>
        </w:rPr>
        <w:t>游艇新建生产基地项目尽快开工建设；以持续深入推进洞庭湖生态环境整治为契机，积极引导原有滩涂船舶修造企业，淘汰落后产能、加快更新改造、进行资源整合、实现提质升级。大力扶持亚光科技、海</w:t>
      </w:r>
      <w:proofErr w:type="gramStart"/>
      <w:r>
        <w:rPr>
          <w:rFonts w:ascii="仿宋_GB2312" w:eastAsia="仿宋_GB2312" w:hint="eastAsia"/>
          <w:bCs/>
          <w:sz w:val="32"/>
          <w:szCs w:val="32"/>
        </w:rPr>
        <w:t>荃</w:t>
      </w:r>
      <w:proofErr w:type="gramEnd"/>
      <w:r>
        <w:rPr>
          <w:rFonts w:ascii="仿宋_GB2312" w:eastAsia="仿宋_GB2312" w:hint="eastAsia"/>
          <w:bCs/>
          <w:sz w:val="32"/>
          <w:szCs w:val="32"/>
        </w:rPr>
        <w:t>游艇、桃花江游艇、金航船舶、帝豪舾装等重点船舶制造及其配套企业进一步做大做强，重点支持新能源船舶研发制造和军民融合产业发展。</w:t>
      </w:r>
    </w:p>
    <w:p w:rsidR="00EB0E81" w:rsidRDefault="00B643AD">
      <w:pPr>
        <w:numPr>
          <w:ilvl w:val="0"/>
          <w:numId w:val="1"/>
        </w:numPr>
        <w:ind w:firstLine="640"/>
        <w:rPr>
          <w:rFonts w:ascii="仿宋_GB2312" w:eastAsia="仿宋_GB2312"/>
          <w:bCs/>
          <w:sz w:val="32"/>
          <w:szCs w:val="32"/>
        </w:rPr>
      </w:pPr>
      <w:r>
        <w:rPr>
          <w:rFonts w:ascii="仿宋_GB2312" w:eastAsia="仿宋_GB2312" w:hint="eastAsia"/>
          <w:bCs/>
          <w:sz w:val="32"/>
          <w:szCs w:val="32"/>
        </w:rPr>
        <w:t>加大招商引资力度，统筹谋划、科学招商，在现有的基础上，充分利用各种资源，招大招强，延长产业链条本年度争取引进2家规模以上高质量船舶配套企业，增强我市船舶制造产业配套服务能力，力争实现</w:t>
      </w:r>
      <w:proofErr w:type="gramStart"/>
      <w:r>
        <w:rPr>
          <w:rFonts w:ascii="仿宋_GB2312" w:eastAsia="仿宋_GB2312" w:hint="eastAsia"/>
          <w:bCs/>
          <w:sz w:val="32"/>
          <w:szCs w:val="32"/>
        </w:rPr>
        <w:t>立项争资</w:t>
      </w:r>
      <w:proofErr w:type="gramEnd"/>
      <w:r>
        <w:rPr>
          <w:rFonts w:ascii="仿宋_GB2312" w:eastAsia="仿宋_GB2312" w:hint="eastAsia"/>
          <w:bCs/>
          <w:sz w:val="32"/>
          <w:szCs w:val="32"/>
        </w:rPr>
        <w:t>300.00万元。</w:t>
      </w:r>
    </w:p>
    <w:p w:rsidR="00EB0E81" w:rsidRDefault="00B643AD">
      <w:pPr>
        <w:numPr>
          <w:ilvl w:val="0"/>
          <w:numId w:val="1"/>
        </w:numPr>
        <w:ind w:firstLine="640"/>
        <w:rPr>
          <w:rFonts w:ascii="仿宋_GB2312" w:eastAsia="仿宋_GB2312"/>
          <w:bCs/>
          <w:sz w:val="32"/>
          <w:szCs w:val="32"/>
        </w:rPr>
      </w:pPr>
      <w:r>
        <w:rPr>
          <w:rFonts w:ascii="仿宋_GB2312" w:eastAsia="仿宋_GB2312" w:hint="eastAsia"/>
          <w:bCs/>
          <w:sz w:val="32"/>
          <w:szCs w:val="32"/>
        </w:rPr>
        <w:t>继续坚持重点企业、重点项目帮扶联系制度，行之有效地解决企业在生产经营过程中的实际问题；对企业船舶高科技人才引进、研发成果、品牌创建、专利申报、高新技术认证实行奖励政策，建设好“先进技术融合公共服务平</w:t>
      </w:r>
      <w:r>
        <w:rPr>
          <w:rFonts w:ascii="仿宋_GB2312" w:eastAsia="仿宋_GB2312" w:hint="eastAsia"/>
          <w:bCs/>
          <w:sz w:val="32"/>
          <w:szCs w:val="32"/>
        </w:rPr>
        <w:lastRenderedPageBreak/>
        <w:t>台”，实现该平台与高新区的创新设立孵化器多个平台共建共享，建立良好的科技创新环境；利用“湖南省特色产业园区”获批机遇，对接相关部门，为企业争取到更多的政策和资金支持。</w:t>
      </w:r>
    </w:p>
    <w:p w:rsidR="00EB0E81" w:rsidRDefault="00B643AD">
      <w:pPr>
        <w:numPr>
          <w:ilvl w:val="0"/>
          <w:numId w:val="2"/>
        </w:numPr>
        <w:ind w:firstLineChars="200" w:firstLine="643"/>
        <w:rPr>
          <w:rFonts w:ascii="黑体" w:eastAsia="黑体" w:hAnsi="黑体"/>
          <w:b/>
          <w:bCs/>
          <w:sz w:val="32"/>
          <w:szCs w:val="32"/>
        </w:rPr>
      </w:pPr>
      <w:r>
        <w:rPr>
          <w:rFonts w:ascii="黑体" w:eastAsia="黑体" w:hAnsi="黑体" w:hint="eastAsia"/>
          <w:b/>
          <w:bCs/>
          <w:sz w:val="32"/>
          <w:szCs w:val="32"/>
        </w:rPr>
        <w:t>项目单位绩效报告情况</w:t>
      </w:r>
    </w:p>
    <w:p w:rsidR="00EB0E81" w:rsidRDefault="00B643AD">
      <w:pPr>
        <w:ind w:firstLineChars="200" w:firstLine="640"/>
        <w:rPr>
          <w:rFonts w:ascii="仿宋_GB2312" w:eastAsia="仿宋_GB2312"/>
          <w:sz w:val="32"/>
          <w:szCs w:val="32"/>
        </w:rPr>
      </w:pPr>
      <w:proofErr w:type="gramStart"/>
      <w:r>
        <w:rPr>
          <w:rFonts w:ascii="仿宋_GB2312" w:eastAsia="仿宋_GB2312" w:hint="eastAsia"/>
          <w:sz w:val="32"/>
          <w:szCs w:val="32"/>
        </w:rPr>
        <w:t>船舶园</w:t>
      </w:r>
      <w:proofErr w:type="gramEnd"/>
      <w:r>
        <w:rPr>
          <w:rFonts w:ascii="仿宋_GB2312" w:eastAsia="仿宋_GB2312" w:hint="eastAsia"/>
          <w:sz w:val="32"/>
          <w:szCs w:val="32"/>
        </w:rPr>
        <w:t>对</w:t>
      </w:r>
      <w:r>
        <w:rPr>
          <w:rFonts w:ascii="仿宋_GB2312" w:eastAsia="仿宋_GB2312" w:hAnsi="仿宋_GB2312" w:cs="仿宋_GB2312" w:hint="eastAsia"/>
          <w:sz w:val="32"/>
          <w:szCs w:val="32"/>
        </w:rPr>
        <w:t>单位专项</w:t>
      </w:r>
      <w:r>
        <w:rPr>
          <w:rFonts w:ascii="仿宋_GB2312" w:eastAsia="仿宋_GB2312" w:hint="eastAsia"/>
          <w:sz w:val="32"/>
          <w:szCs w:val="32"/>
        </w:rPr>
        <w:t>进行了绩效自评。报告对资金管理情况、项目效益情况、专项经费使用情况等方面进行了说明及评价。其中：专项自评报告未对绩效目标和绩效评价组织实施情况进行描述。</w:t>
      </w:r>
    </w:p>
    <w:p w:rsidR="00EB0E81" w:rsidRDefault="00B643AD">
      <w:pPr>
        <w:numPr>
          <w:ilvl w:val="0"/>
          <w:numId w:val="2"/>
        </w:numPr>
        <w:ind w:firstLineChars="200" w:firstLine="643"/>
        <w:rPr>
          <w:rFonts w:ascii="黑体" w:eastAsia="黑体" w:hAnsi="黑体" w:cs="黑体"/>
          <w:b/>
          <w:bCs/>
          <w:sz w:val="32"/>
          <w:szCs w:val="32"/>
        </w:rPr>
      </w:pPr>
      <w:r>
        <w:rPr>
          <w:rFonts w:ascii="黑体" w:eastAsia="黑体" w:hAnsi="黑体" w:cs="黑体" w:hint="eastAsia"/>
          <w:b/>
          <w:bCs/>
          <w:sz w:val="32"/>
          <w:szCs w:val="32"/>
        </w:rPr>
        <w:t>绩效评价工作情况</w:t>
      </w:r>
    </w:p>
    <w:p w:rsidR="00EB0E81" w:rsidRDefault="00B643AD">
      <w:pPr>
        <w:ind w:firstLineChars="200" w:firstLine="640"/>
        <w:rPr>
          <w:rFonts w:ascii="仿宋_GB2312" w:eastAsia="仿宋_GB2312"/>
          <w:sz w:val="32"/>
          <w:szCs w:val="32"/>
        </w:rPr>
      </w:pPr>
      <w:proofErr w:type="gramStart"/>
      <w:r>
        <w:rPr>
          <w:rFonts w:ascii="仿宋_GB2312" w:eastAsia="仿宋_GB2312" w:hint="eastAsia"/>
          <w:sz w:val="32"/>
          <w:szCs w:val="32"/>
        </w:rPr>
        <w:t>湖南天盈和</w:t>
      </w:r>
      <w:proofErr w:type="gramEnd"/>
      <w:r>
        <w:rPr>
          <w:rFonts w:ascii="仿宋_GB2312" w:eastAsia="仿宋_GB2312" w:hint="eastAsia"/>
          <w:sz w:val="32"/>
          <w:szCs w:val="32"/>
        </w:rPr>
        <w:t>会计师事务所（普通合伙）接受沅江市财政局委托开展专项经费绩效评价的具体工作。绩效评价小组于2021年8月通过以下程序对</w:t>
      </w:r>
      <w:proofErr w:type="gramStart"/>
      <w:r>
        <w:rPr>
          <w:rFonts w:ascii="仿宋_GB2312" w:eastAsia="仿宋_GB2312" w:hAnsi="仿宋_GB2312" w:cs="仿宋_GB2312" w:hint="eastAsia"/>
          <w:sz w:val="32"/>
          <w:szCs w:val="32"/>
        </w:rPr>
        <w:t>船舶园单位</w:t>
      </w:r>
      <w:proofErr w:type="gramEnd"/>
      <w:r>
        <w:rPr>
          <w:rFonts w:ascii="仿宋_GB2312" w:eastAsia="仿宋_GB2312" w:hAnsi="仿宋_GB2312" w:cs="仿宋_GB2312" w:hint="eastAsia"/>
          <w:sz w:val="32"/>
          <w:szCs w:val="32"/>
        </w:rPr>
        <w:t>专项</w:t>
      </w:r>
      <w:r>
        <w:rPr>
          <w:rFonts w:ascii="仿宋_GB2312" w:eastAsia="仿宋_GB2312" w:hint="eastAsia"/>
          <w:sz w:val="32"/>
          <w:szCs w:val="32"/>
        </w:rPr>
        <w:t>进行了全面综合评价：</w:t>
      </w:r>
    </w:p>
    <w:p w:rsidR="00EB0E81" w:rsidRDefault="00B643AD">
      <w:pPr>
        <w:numPr>
          <w:ilvl w:val="255"/>
          <w:numId w:val="0"/>
        </w:numPr>
        <w:ind w:firstLineChars="200" w:firstLine="640"/>
        <w:rPr>
          <w:rFonts w:ascii="仿宋_GB2312" w:eastAsia="仿宋_GB2312"/>
          <w:sz w:val="32"/>
          <w:szCs w:val="32"/>
        </w:rPr>
      </w:pPr>
      <w:r>
        <w:rPr>
          <w:rFonts w:ascii="仿宋_GB2312" w:eastAsia="仿宋_GB2312" w:hint="eastAsia"/>
          <w:sz w:val="32"/>
          <w:szCs w:val="32"/>
        </w:rPr>
        <w:t>（一）查看项目主管部门</w:t>
      </w:r>
      <w:proofErr w:type="gramStart"/>
      <w:r>
        <w:rPr>
          <w:rFonts w:ascii="仿宋_GB2312" w:eastAsia="仿宋_GB2312" w:hAnsi="仿宋_GB2312" w:cs="仿宋_GB2312" w:hint="eastAsia"/>
          <w:sz w:val="32"/>
          <w:szCs w:val="32"/>
        </w:rPr>
        <w:t>船舶园</w:t>
      </w:r>
      <w:proofErr w:type="gramEnd"/>
      <w:r>
        <w:rPr>
          <w:rFonts w:ascii="仿宋_GB2312" w:eastAsia="仿宋_GB2312" w:hint="eastAsia"/>
          <w:sz w:val="32"/>
          <w:szCs w:val="32"/>
        </w:rPr>
        <w:t>提供的相关凭证、文件、合同等资料，</w:t>
      </w:r>
      <w:r>
        <w:rPr>
          <w:rFonts w:ascii="仿宋_GB2312" w:eastAsia="仿宋_GB2312" w:hAnsi="仿宋_GB2312" w:cs="仿宋_GB2312" w:hint="eastAsia"/>
          <w:sz w:val="32"/>
          <w:szCs w:val="32"/>
        </w:rPr>
        <w:t>了解相关合同签订、执行情况，核实项目资金投入数据</w:t>
      </w:r>
      <w:r>
        <w:rPr>
          <w:rFonts w:ascii="仿宋_GB2312" w:eastAsia="仿宋_GB2312" w:hint="eastAsia"/>
          <w:sz w:val="32"/>
          <w:szCs w:val="32"/>
        </w:rPr>
        <w:t>；</w:t>
      </w:r>
    </w:p>
    <w:p w:rsidR="00EB0E81" w:rsidRDefault="00B643AD">
      <w:pPr>
        <w:numPr>
          <w:ilvl w:val="255"/>
          <w:numId w:val="0"/>
        </w:numPr>
        <w:ind w:firstLineChars="200" w:firstLine="640"/>
        <w:rPr>
          <w:rFonts w:ascii="仿宋_GB2312" w:eastAsia="仿宋_GB2312"/>
          <w:sz w:val="32"/>
          <w:szCs w:val="32"/>
        </w:rPr>
      </w:pPr>
      <w:r>
        <w:rPr>
          <w:rFonts w:ascii="仿宋_GB2312" w:eastAsia="仿宋_GB2312" w:hint="eastAsia"/>
          <w:sz w:val="32"/>
          <w:szCs w:val="32"/>
        </w:rPr>
        <w:t>（二）与项目相关负责人沟通，了解项目组织实施过程、财政资金的使用管理情况及项目绩效产出情况；</w:t>
      </w:r>
    </w:p>
    <w:p w:rsidR="00EB0E81" w:rsidRDefault="00B643AD">
      <w:pPr>
        <w:numPr>
          <w:ilvl w:val="255"/>
          <w:numId w:val="0"/>
        </w:numPr>
        <w:ind w:firstLineChars="200" w:firstLine="640"/>
        <w:rPr>
          <w:rFonts w:ascii="仿宋_GB2312" w:eastAsia="仿宋_GB2312"/>
          <w:sz w:val="32"/>
          <w:szCs w:val="32"/>
        </w:rPr>
      </w:pPr>
      <w:r>
        <w:rPr>
          <w:rFonts w:ascii="仿宋_GB2312" w:eastAsia="仿宋_GB2312" w:hint="eastAsia"/>
          <w:sz w:val="32"/>
          <w:szCs w:val="32"/>
        </w:rPr>
        <w:t>（三）分析数据关系，核实资金使用情况；</w:t>
      </w:r>
    </w:p>
    <w:p w:rsidR="00EB0E81" w:rsidRDefault="00B643AD">
      <w:pPr>
        <w:numPr>
          <w:ilvl w:val="255"/>
          <w:numId w:val="0"/>
        </w:numPr>
        <w:ind w:firstLineChars="200" w:firstLine="640"/>
        <w:rPr>
          <w:rFonts w:ascii="仿宋_GB2312" w:eastAsia="仿宋_GB2312"/>
          <w:sz w:val="32"/>
          <w:szCs w:val="32"/>
        </w:rPr>
      </w:pPr>
      <w:r>
        <w:rPr>
          <w:rFonts w:ascii="仿宋_GB2312" w:eastAsia="仿宋_GB2312" w:hint="eastAsia"/>
          <w:sz w:val="32"/>
          <w:szCs w:val="32"/>
        </w:rPr>
        <w:t>（四）设计绩效评价评分指标对单位专项资金进行全面、综合评价并出具绩效评价报告。</w:t>
      </w:r>
    </w:p>
    <w:p w:rsidR="00EB0E81" w:rsidRDefault="00B643AD">
      <w:pPr>
        <w:ind w:firstLineChars="200" w:firstLine="643"/>
        <w:rPr>
          <w:rFonts w:ascii="黑体" w:eastAsia="黑体" w:hAnsi="黑体"/>
          <w:sz w:val="32"/>
          <w:szCs w:val="32"/>
        </w:rPr>
      </w:pPr>
      <w:r>
        <w:rPr>
          <w:rFonts w:ascii="黑体" w:eastAsia="黑体" w:hAnsi="黑体" w:hint="eastAsia"/>
          <w:b/>
          <w:bCs/>
          <w:sz w:val="32"/>
          <w:szCs w:val="32"/>
        </w:rPr>
        <w:lastRenderedPageBreak/>
        <w:t>四、绩效评价指标分析情况</w:t>
      </w:r>
    </w:p>
    <w:p w:rsidR="00EB0E81" w:rsidRDefault="00B643AD">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（一）项目资金情况</w:t>
      </w:r>
    </w:p>
    <w:p w:rsidR="00EB0E81" w:rsidRDefault="00B643A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1、项目资金到位情况</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2020年度</w:t>
      </w:r>
      <w:proofErr w:type="gramStart"/>
      <w:r>
        <w:rPr>
          <w:rFonts w:ascii="仿宋_GB2312" w:eastAsia="仿宋_GB2312" w:hint="eastAsia"/>
          <w:bCs/>
          <w:sz w:val="32"/>
          <w:szCs w:val="32"/>
        </w:rPr>
        <w:t>船舶园</w:t>
      </w:r>
      <w:r>
        <w:rPr>
          <w:rFonts w:ascii="仿宋_GB2312" w:eastAsia="仿宋_GB2312" w:hAnsi="仿宋_GB2312" w:cs="仿宋_GB2312" w:hint="eastAsia"/>
          <w:sz w:val="32"/>
          <w:szCs w:val="32"/>
        </w:rPr>
        <w:t>单位</w:t>
      </w:r>
      <w:proofErr w:type="gramEnd"/>
      <w:r>
        <w:rPr>
          <w:rFonts w:ascii="仿宋_GB2312" w:eastAsia="仿宋_GB2312" w:hAnsi="仿宋_GB2312" w:cs="仿宋_GB2312" w:hint="eastAsia"/>
          <w:sz w:val="32"/>
          <w:szCs w:val="32"/>
        </w:rPr>
        <w:t>专项预算资金为</w:t>
      </w:r>
      <w:r>
        <w:rPr>
          <w:rFonts w:ascii="仿宋_GB2312" w:eastAsia="仿宋_GB2312" w:hint="eastAsia"/>
          <w:bCs/>
          <w:sz w:val="32"/>
          <w:szCs w:val="32"/>
        </w:rPr>
        <w:t>290.65万</w:t>
      </w:r>
      <w:r>
        <w:rPr>
          <w:rFonts w:ascii="仿宋_GB2312" w:eastAsia="仿宋_GB2312" w:hAnsi="仿宋_GB2312" w:cs="仿宋_GB2312" w:hint="eastAsia"/>
          <w:sz w:val="32"/>
          <w:szCs w:val="32"/>
        </w:rPr>
        <w:t>元，</w:t>
      </w:r>
      <w:r>
        <w:rPr>
          <w:rFonts w:ascii="仿宋_GB2312" w:eastAsia="仿宋_GB2312" w:hint="eastAsia"/>
          <w:bCs/>
          <w:sz w:val="32"/>
          <w:szCs w:val="32"/>
        </w:rPr>
        <w:t>2020年实际到位资金290.65万元，</w:t>
      </w:r>
      <w:r>
        <w:rPr>
          <w:rFonts w:ascii="仿宋_GB2312" w:eastAsia="仿宋_GB2312" w:hint="eastAsia"/>
          <w:sz w:val="32"/>
          <w:szCs w:val="32"/>
        </w:rPr>
        <w:t>资金到位率100%</w:t>
      </w:r>
      <w:r>
        <w:rPr>
          <w:rFonts w:ascii="仿宋_GB2312" w:eastAsia="仿宋_GB2312" w:hint="eastAsia"/>
          <w:bCs/>
          <w:sz w:val="32"/>
          <w:szCs w:val="32"/>
        </w:rPr>
        <w:t>。</w:t>
      </w:r>
    </w:p>
    <w:p w:rsidR="00EB0E81" w:rsidRDefault="00B64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2、项目资金使用情况</w:t>
      </w:r>
    </w:p>
    <w:p w:rsidR="00EB0E81" w:rsidRDefault="00B643AD">
      <w:pPr>
        <w:ind w:firstLineChars="200" w:firstLine="640"/>
        <w:rPr>
          <w:rFonts w:ascii="仿宋_GB2312" w:eastAsia="仿宋_GB2312" w:hAnsi="仿宋_GB2312" w:cs="仿宋_GB2312"/>
          <w:sz w:val="32"/>
          <w:szCs w:val="32"/>
        </w:rPr>
      </w:pPr>
      <w:r>
        <w:rPr>
          <w:rFonts w:ascii="仿宋_GB2312" w:eastAsia="仿宋_GB2312" w:hint="eastAsia"/>
          <w:bCs/>
          <w:sz w:val="32"/>
          <w:szCs w:val="32"/>
        </w:rPr>
        <w:t>截至2020年12月31日，</w:t>
      </w:r>
      <w:proofErr w:type="gramStart"/>
      <w:r>
        <w:rPr>
          <w:rFonts w:ascii="仿宋_GB2312" w:eastAsia="仿宋_GB2312" w:hint="eastAsia"/>
          <w:bCs/>
          <w:sz w:val="32"/>
          <w:szCs w:val="32"/>
        </w:rPr>
        <w:t>船舶园单位</w:t>
      </w:r>
      <w:proofErr w:type="gramEnd"/>
      <w:r>
        <w:rPr>
          <w:rFonts w:ascii="仿宋_GB2312" w:eastAsia="仿宋_GB2312" w:hint="eastAsia"/>
          <w:bCs/>
          <w:sz w:val="32"/>
          <w:szCs w:val="32"/>
        </w:rPr>
        <w:t>专项经费已支付290.65万元，其中扶贫工作经费支付金额为5.00万元，园区法</w:t>
      </w:r>
      <w:proofErr w:type="gramStart"/>
      <w:r>
        <w:rPr>
          <w:rFonts w:ascii="仿宋_GB2312" w:eastAsia="仿宋_GB2312" w:hint="eastAsia"/>
          <w:bCs/>
          <w:sz w:val="32"/>
          <w:szCs w:val="32"/>
        </w:rPr>
        <w:t>务</w:t>
      </w:r>
      <w:proofErr w:type="gramEnd"/>
      <w:r>
        <w:rPr>
          <w:rFonts w:ascii="仿宋_GB2312" w:eastAsia="仿宋_GB2312" w:hint="eastAsia"/>
          <w:bCs/>
          <w:sz w:val="32"/>
          <w:szCs w:val="32"/>
        </w:rPr>
        <w:t>经费支付金额为10.00万元，立项增资专项经费支付金额为40.00万元，非公党建工作经费支付金额为0.65万元，园区宣传广告经费支付金额为20.00万元，招商会议费支付金额为20.00万元，</w:t>
      </w:r>
      <w:proofErr w:type="gramStart"/>
      <w:r>
        <w:rPr>
          <w:rFonts w:ascii="仿宋_GB2312" w:eastAsia="仿宋_GB2312" w:hint="eastAsia"/>
          <w:bCs/>
          <w:sz w:val="32"/>
          <w:szCs w:val="32"/>
        </w:rPr>
        <w:t>征拆维稳三</w:t>
      </w:r>
      <w:proofErr w:type="gramEnd"/>
      <w:r>
        <w:rPr>
          <w:rFonts w:ascii="仿宋_GB2312" w:eastAsia="仿宋_GB2312" w:hint="eastAsia"/>
          <w:bCs/>
          <w:sz w:val="32"/>
          <w:szCs w:val="32"/>
        </w:rPr>
        <w:t>治文创工作经费支付金额为20.00万元，中远海运对接专项经费支付金额为20.00万元，企业服务专项经费支付金额为45.00万元，安全生产专项经费支付金额为30.00万元，招商引资经费支付金额为40.00万元，重点项目建设专项经费支付金额为10.00万元，环境保护专项经费支付金额为30.00万元。</w:t>
      </w:r>
    </w:p>
    <w:p w:rsidR="00EB0E81" w:rsidRDefault="00B643AD">
      <w:pPr>
        <w:pStyle w:val="ad"/>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3、项目资金管理情况</w:t>
      </w:r>
    </w:p>
    <w:p w:rsidR="00EB0E81" w:rsidRDefault="00B643AD">
      <w:pPr>
        <w:pStyle w:val="ad"/>
        <w:ind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船舶园单位</w:t>
      </w:r>
      <w:proofErr w:type="gramEnd"/>
      <w:r>
        <w:rPr>
          <w:rFonts w:ascii="仿宋_GB2312" w:eastAsia="仿宋_GB2312" w:hAnsi="仿宋_GB2312" w:cs="仿宋_GB2312" w:hint="eastAsia"/>
          <w:sz w:val="32"/>
          <w:szCs w:val="32"/>
        </w:rPr>
        <w:t>专项资金支出按照《沅江市船舶制造产业园机关管理制度》进行审核支付。</w:t>
      </w:r>
    </w:p>
    <w:p w:rsidR="00EB0E81" w:rsidRDefault="00B643AD" w:rsidP="00EE3EC7">
      <w:pPr>
        <w:pStyle w:val="ad"/>
        <w:ind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（二）项目管理情况</w:t>
      </w:r>
    </w:p>
    <w:p w:rsidR="00EB0E81" w:rsidRDefault="00B64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该单位</w:t>
      </w:r>
      <w:proofErr w:type="gramStart"/>
      <w:r>
        <w:rPr>
          <w:rFonts w:ascii="仿宋_GB2312" w:eastAsia="仿宋_GB2312" w:hAnsi="仿宋_GB2312" w:cs="仿宋_GB2312" w:hint="eastAsia"/>
          <w:sz w:val="32"/>
          <w:szCs w:val="32"/>
        </w:rPr>
        <w:t>专项由船舶园</w:t>
      </w:r>
      <w:proofErr w:type="gramEnd"/>
      <w:r>
        <w:rPr>
          <w:rFonts w:ascii="仿宋_GB2312" w:eastAsia="仿宋_GB2312" w:hAnsi="仿宋_GB2312" w:cs="仿宋_GB2312" w:hint="eastAsia"/>
          <w:sz w:val="32"/>
          <w:szCs w:val="32"/>
        </w:rPr>
        <w:t>申报并作为实施主体，负责对专项</w:t>
      </w:r>
      <w:r>
        <w:rPr>
          <w:rFonts w:ascii="仿宋_GB2312" w:eastAsia="仿宋_GB2312" w:hAnsi="仿宋_GB2312" w:cs="仿宋_GB2312" w:hint="eastAsia"/>
          <w:sz w:val="32"/>
          <w:szCs w:val="32"/>
        </w:rPr>
        <w:lastRenderedPageBreak/>
        <w:t>资金使用进行管理，对项目进度跟踪监管，并负责绩效评价、资金计划的公示、资金计划文件下达等工作。</w:t>
      </w:r>
    </w:p>
    <w:p w:rsidR="00EB0E81" w:rsidRDefault="00B643AD">
      <w:pPr>
        <w:numPr>
          <w:ilvl w:val="0"/>
          <w:numId w:val="3"/>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项目目标完成情况</w:t>
      </w:r>
    </w:p>
    <w:p w:rsidR="00EB0E81" w:rsidRDefault="00B643AD">
      <w:pPr>
        <w:ind w:firstLineChars="200" w:firstLine="640"/>
        <w:rPr>
          <w:rFonts w:ascii="仿宋_GB2312" w:eastAsia="仿宋_GB2312"/>
          <w:bCs/>
          <w:sz w:val="32"/>
          <w:szCs w:val="32"/>
        </w:rPr>
      </w:pPr>
      <w:r>
        <w:rPr>
          <w:rFonts w:ascii="仿宋_GB2312" w:eastAsia="仿宋_GB2312" w:hint="eastAsia"/>
          <w:bCs/>
          <w:sz w:val="32"/>
          <w:szCs w:val="32"/>
        </w:rPr>
        <w:t>1、2020年，全市船舶工业完成703,000.00万元，同比增长9.23%，其中规模以上工业总产值645,000.00万元，同比增长22.5%，完成税收6,449.91万元，同比增长115.77%。</w:t>
      </w:r>
    </w:p>
    <w:p w:rsidR="00EB0E81" w:rsidRDefault="00B643AD">
      <w:pPr>
        <w:ind w:firstLineChars="200" w:firstLine="640"/>
        <w:rPr>
          <w:rFonts w:ascii="仿宋_GB2312" w:eastAsia="仿宋_GB2312"/>
          <w:sz w:val="32"/>
          <w:szCs w:val="32"/>
        </w:rPr>
      </w:pPr>
      <w:r>
        <w:rPr>
          <w:rFonts w:ascii="仿宋_GB2312" w:eastAsia="仿宋_GB2312" w:hint="eastAsia"/>
          <w:sz w:val="32"/>
          <w:szCs w:val="32"/>
        </w:rPr>
        <w:t>2、新引进企业5家，新开工7家，新投产5家，新入</w:t>
      </w:r>
      <w:proofErr w:type="gramStart"/>
      <w:r>
        <w:rPr>
          <w:rFonts w:ascii="仿宋_GB2312" w:eastAsia="仿宋_GB2312" w:hint="eastAsia"/>
          <w:sz w:val="32"/>
          <w:szCs w:val="32"/>
        </w:rPr>
        <w:t>规</w:t>
      </w:r>
      <w:proofErr w:type="gramEnd"/>
      <w:r>
        <w:rPr>
          <w:rFonts w:ascii="仿宋_GB2312" w:eastAsia="仿宋_GB2312" w:hint="eastAsia"/>
          <w:sz w:val="32"/>
          <w:szCs w:val="32"/>
        </w:rPr>
        <w:t>6家，截止2020年12月，已完成招商引资近117,000.00万元，完成全年招商引资任务。2020年园区完成</w:t>
      </w:r>
      <w:proofErr w:type="gramStart"/>
      <w:r>
        <w:rPr>
          <w:rFonts w:ascii="仿宋_GB2312" w:eastAsia="仿宋_GB2312" w:hint="eastAsia"/>
          <w:sz w:val="32"/>
          <w:szCs w:val="32"/>
        </w:rPr>
        <w:t>立项争资</w:t>
      </w:r>
      <w:proofErr w:type="gramEnd"/>
      <w:r>
        <w:rPr>
          <w:rFonts w:ascii="仿宋_GB2312" w:eastAsia="仿宋_GB2312" w:hint="eastAsia"/>
          <w:sz w:val="32"/>
          <w:szCs w:val="32"/>
        </w:rPr>
        <w:t>400.00万元。</w:t>
      </w:r>
    </w:p>
    <w:p w:rsidR="00EB0E81" w:rsidRDefault="00B643AD">
      <w:pPr>
        <w:ind w:firstLineChars="200" w:firstLine="640"/>
        <w:rPr>
          <w:rFonts w:ascii="仿宋_GB2312" w:eastAsia="仿宋_GB2312"/>
          <w:sz w:val="32"/>
          <w:szCs w:val="32"/>
        </w:rPr>
      </w:pPr>
      <w:r>
        <w:rPr>
          <w:rFonts w:ascii="仿宋_GB2312" w:eastAsia="仿宋_GB2312" w:hint="eastAsia"/>
          <w:sz w:val="32"/>
          <w:szCs w:val="32"/>
        </w:rPr>
        <w:t>3、2020年园区进一步完善帮扶企业联系制度，领导班子成员分片包干，职能部室负责包企业（项目），将园区每一个企业（项目）分解责任到园区党员干部，建立企业（项目）服务专员制度。园区给每一个企业派出一名</w:t>
      </w:r>
      <w:proofErr w:type="gramStart"/>
      <w:r>
        <w:rPr>
          <w:rFonts w:ascii="仿宋_GB2312" w:eastAsia="仿宋_GB2312" w:hint="eastAsia"/>
          <w:sz w:val="32"/>
          <w:szCs w:val="32"/>
        </w:rPr>
        <w:t>党员驻企</w:t>
      </w:r>
      <w:proofErr w:type="gramEnd"/>
      <w:r>
        <w:rPr>
          <w:rFonts w:ascii="仿宋_GB2312" w:eastAsia="仿宋_GB2312" w:hint="eastAsia"/>
          <w:sz w:val="32"/>
          <w:szCs w:val="32"/>
        </w:rPr>
        <w:t>干部，长期值守，贯彻落实上级精神，及时了解并反馈企业信息，协调并帮助企业解决实际问题，促进园区经济稳步健康的发展。</w:t>
      </w:r>
    </w:p>
    <w:p w:rsidR="00EB0E81" w:rsidRDefault="00B643AD">
      <w:pPr>
        <w:numPr>
          <w:ilvl w:val="0"/>
          <w:numId w:val="3"/>
        </w:numPr>
        <w:ind w:firstLineChars="200" w:firstLine="643"/>
        <w:rPr>
          <w:rFonts w:ascii="仿宋_GB2312" w:eastAsia="仿宋_GB2312"/>
          <w:b/>
          <w:bCs/>
          <w:sz w:val="32"/>
          <w:szCs w:val="32"/>
        </w:rPr>
      </w:pPr>
      <w:r>
        <w:rPr>
          <w:rFonts w:ascii="仿宋_GB2312" w:eastAsia="仿宋_GB2312" w:hint="eastAsia"/>
          <w:b/>
          <w:bCs/>
          <w:sz w:val="32"/>
          <w:szCs w:val="32"/>
        </w:rPr>
        <w:t>项目绩效情况</w:t>
      </w:r>
    </w:p>
    <w:p w:rsidR="00EB0E81" w:rsidRDefault="00B643AD">
      <w:pPr>
        <w:ind w:firstLineChars="200" w:firstLine="640"/>
        <w:rPr>
          <w:rFonts w:ascii="仿宋_GB2312" w:eastAsia="仿宋_GB2312" w:hAnsi="仿宋_GB2312" w:cs="仿宋_GB2312"/>
          <w:bCs/>
          <w:sz w:val="32"/>
          <w:szCs w:val="32"/>
        </w:rPr>
      </w:pPr>
      <w:proofErr w:type="gramStart"/>
      <w:r>
        <w:rPr>
          <w:rFonts w:ascii="仿宋_GB2312" w:eastAsia="仿宋_GB2312" w:hAnsi="仿宋_GB2312" w:cs="仿宋_GB2312" w:hint="eastAsia"/>
          <w:bCs/>
          <w:sz w:val="32"/>
          <w:szCs w:val="32"/>
        </w:rPr>
        <w:t>船舶园单位</w:t>
      </w:r>
      <w:proofErr w:type="gramEnd"/>
      <w:r>
        <w:rPr>
          <w:rFonts w:ascii="仿宋_GB2312" w:eastAsia="仿宋_GB2312" w:hAnsi="仿宋_GB2312" w:cs="仿宋_GB2312" w:hint="eastAsia"/>
          <w:bCs/>
          <w:sz w:val="32"/>
          <w:szCs w:val="32"/>
        </w:rPr>
        <w:t>专项的实施，</w:t>
      </w:r>
      <w:r>
        <w:rPr>
          <w:rFonts w:ascii="仿宋_GB2312" w:eastAsia="仿宋_GB2312" w:hint="eastAsia"/>
          <w:bCs/>
          <w:sz w:val="32"/>
          <w:szCs w:val="32"/>
        </w:rPr>
        <w:t>保障了园区各项工作顺利开展</w:t>
      </w:r>
      <w:r>
        <w:rPr>
          <w:rFonts w:ascii="仿宋_GB2312" w:eastAsia="仿宋_GB2312" w:hAnsi="仿宋_GB2312" w:cs="仿宋_GB2312" w:hint="eastAsia"/>
          <w:bCs/>
          <w:sz w:val="32"/>
          <w:szCs w:val="32"/>
        </w:rPr>
        <w:t>，推动了园区建设迈上新台阶的同时也产生了以下效益：</w:t>
      </w:r>
    </w:p>
    <w:p w:rsidR="00EB0E81" w:rsidRDefault="00B643AD">
      <w:pPr>
        <w:numPr>
          <w:ilvl w:val="0"/>
          <w:numId w:val="4"/>
        </w:numPr>
        <w:ind w:firstLineChars="200" w:firstLine="640"/>
        <w:rPr>
          <w:rFonts w:ascii="仿宋_GB2312" w:eastAsia="仿宋_GB2312"/>
          <w:sz w:val="32"/>
          <w:szCs w:val="32"/>
        </w:rPr>
      </w:pPr>
      <w:r>
        <w:rPr>
          <w:rFonts w:ascii="仿宋_GB2312" w:eastAsia="仿宋_GB2312" w:hint="eastAsia"/>
          <w:sz w:val="32"/>
          <w:szCs w:val="32"/>
        </w:rPr>
        <w:t>经济效益：该专项的实施，使园区经济保持稳定增长态势，</w:t>
      </w:r>
      <w:r>
        <w:rPr>
          <w:rFonts w:ascii="仿宋_GB2312" w:eastAsia="仿宋_GB2312" w:hint="eastAsia"/>
          <w:bCs/>
          <w:sz w:val="32"/>
          <w:szCs w:val="32"/>
        </w:rPr>
        <w:t>全市船舶工业完成703,000.00万元，同比增长</w:t>
      </w:r>
      <w:r>
        <w:rPr>
          <w:rFonts w:ascii="仿宋_GB2312" w:eastAsia="仿宋_GB2312" w:hint="eastAsia"/>
          <w:bCs/>
          <w:sz w:val="32"/>
          <w:szCs w:val="32"/>
        </w:rPr>
        <w:lastRenderedPageBreak/>
        <w:t>9.23%，其中规模以上工业总产值645,000.00万元，同比增长22.5%，完成税收6,449.91万元，同比增长115.77%</w:t>
      </w:r>
      <w:r>
        <w:rPr>
          <w:rFonts w:ascii="仿宋_GB2312" w:eastAsia="仿宋_GB2312" w:hint="eastAsia"/>
          <w:sz w:val="32"/>
          <w:szCs w:val="32"/>
        </w:rPr>
        <w:t>。</w:t>
      </w:r>
    </w:p>
    <w:p w:rsidR="00EB0E81" w:rsidRDefault="00B643AD">
      <w:pPr>
        <w:numPr>
          <w:ilvl w:val="0"/>
          <w:numId w:val="4"/>
        </w:numPr>
        <w:ind w:firstLineChars="200" w:firstLine="640"/>
        <w:rPr>
          <w:rFonts w:ascii="仿宋_GB2312" w:eastAsia="仿宋_GB2312"/>
          <w:sz w:val="32"/>
          <w:szCs w:val="32"/>
        </w:rPr>
      </w:pPr>
      <w:r>
        <w:rPr>
          <w:rFonts w:ascii="仿宋_GB2312" w:eastAsia="仿宋_GB2312" w:hint="eastAsia"/>
          <w:sz w:val="32"/>
          <w:szCs w:val="32"/>
        </w:rPr>
        <w:t>可持续性：专项的实施保障了园区各项工作顺利开展，进一步完善了基础设施配套建设，推进了重点项目建设，促进了园区高效可持续性发展。</w:t>
      </w:r>
    </w:p>
    <w:p w:rsidR="00EB0E81" w:rsidRDefault="00B643AD">
      <w:pPr>
        <w:numPr>
          <w:ilvl w:val="0"/>
          <w:numId w:val="4"/>
        </w:numPr>
        <w:ind w:firstLineChars="200" w:firstLine="640"/>
        <w:rPr>
          <w:rFonts w:ascii="仿宋_GB2312" w:eastAsia="仿宋_GB2312"/>
          <w:sz w:val="32"/>
          <w:szCs w:val="32"/>
        </w:rPr>
      </w:pPr>
      <w:r>
        <w:rPr>
          <w:rFonts w:ascii="仿宋_GB2312" w:eastAsia="仿宋_GB2312" w:hint="eastAsia"/>
          <w:sz w:val="32"/>
          <w:szCs w:val="32"/>
        </w:rPr>
        <w:t>服务对象满意度：2020年度</w:t>
      </w:r>
      <w:proofErr w:type="gramStart"/>
      <w:r>
        <w:rPr>
          <w:rFonts w:ascii="仿宋_GB2312" w:eastAsia="仿宋_GB2312" w:hint="eastAsia"/>
          <w:sz w:val="32"/>
          <w:szCs w:val="32"/>
        </w:rPr>
        <w:t>船舶园</w:t>
      </w:r>
      <w:proofErr w:type="gramEnd"/>
      <w:r>
        <w:rPr>
          <w:rFonts w:ascii="仿宋_GB2312" w:eastAsia="仿宋_GB2312" w:hint="eastAsia"/>
          <w:sz w:val="32"/>
          <w:szCs w:val="32"/>
        </w:rPr>
        <w:t>被上级单位评为“省级特色工业小镇”；当年园区有两家企业被</w:t>
      </w:r>
      <w:proofErr w:type="gramStart"/>
      <w:r>
        <w:rPr>
          <w:rFonts w:ascii="仿宋_GB2312" w:eastAsia="仿宋_GB2312" w:hint="eastAsia"/>
          <w:sz w:val="32"/>
          <w:szCs w:val="32"/>
        </w:rPr>
        <w:t>省工信厅审批</w:t>
      </w:r>
      <w:proofErr w:type="gramEnd"/>
      <w:r>
        <w:rPr>
          <w:rFonts w:ascii="仿宋_GB2312" w:eastAsia="仿宋_GB2312" w:hint="eastAsia"/>
          <w:sz w:val="32"/>
          <w:szCs w:val="32"/>
        </w:rPr>
        <w:t>认定为工业制造“小巨人”企业名单。</w:t>
      </w:r>
    </w:p>
    <w:p w:rsidR="00EB0E81" w:rsidRDefault="00B643AD">
      <w:pPr>
        <w:ind w:firstLineChars="200" w:firstLine="643"/>
        <w:rPr>
          <w:rFonts w:ascii="黑体" w:eastAsia="黑体" w:hAnsi="黑体"/>
          <w:b/>
          <w:bCs/>
          <w:sz w:val="32"/>
          <w:szCs w:val="32"/>
        </w:rPr>
      </w:pPr>
      <w:r>
        <w:rPr>
          <w:rFonts w:ascii="黑体" w:eastAsia="黑体" w:hAnsi="黑体" w:hint="eastAsia"/>
          <w:b/>
          <w:bCs/>
          <w:sz w:val="32"/>
          <w:szCs w:val="32"/>
        </w:rPr>
        <w:t>五、综合评价情况及评价结论</w:t>
      </w:r>
    </w:p>
    <w:p w:rsidR="00EB0E81" w:rsidRDefault="00B643AD">
      <w:pPr>
        <w:ind w:firstLineChars="200" w:firstLine="640"/>
        <w:rPr>
          <w:rFonts w:ascii="仿宋_GB2312" w:eastAsia="仿宋_GB2312"/>
          <w:sz w:val="32"/>
          <w:szCs w:val="32"/>
        </w:rPr>
      </w:pPr>
      <w:r>
        <w:rPr>
          <w:rFonts w:ascii="仿宋_GB2312" w:eastAsia="仿宋_GB2312" w:hint="eastAsia"/>
          <w:sz w:val="32"/>
          <w:szCs w:val="32"/>
        </w:rPr>
        <w:t>评价小组从项目投入、项目过程、项目产出、项目效益等方面对2020年</w:t>
      </w:r>
      <w:proofErr w:type="gramStart"/>
      <w:r>
        <w:rPr>
          <w:rFonts w:ascii="仿宋_GB2312" w:eastAsia="仿宋_GB2312" w:hint="eastAsia"/>
          <w:sz w:val="32"/>
          <w:szCs w:val="32"/>
        </w:rPr>
        <w:t>船舶园单位</w:t>
      </w:r>
      <w:proofErr w:type="gramEnd"/>
      <w:r>
        <w:rPr>
          <w:rFonts w:ascii="仿宋_GB2312" w:eastAsia="仿宋_GB2312" w:hint="eastAsia"/>
          <w:sz w:val="32"/>
          <w:szCs w:val="32"/>
        </w:rPr>
        <w:t>专项进行了综合评价，综合评分为 85.50分，评价等级为良。</w:t>
      </w:r>
    </w:p>
    <w:p w:rsidR="00EB0E81" w:rsidRDefault="00B643A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项目投入总分10.00分，实际得分9.50分，扣0.50分。扣分明细为：具体绩效目标的设定未通过清晰、可衡量的指标</w:t>
      </w:r>
      <w:proofErr w:type="gramStart"/>
      <w:r>
        <w:rPr>
          <w:rFonts w:ascii="仿宋_GB2312" w:eastAsia="仿宋_GB2312" w:hAnsi="黑体" w:hint="eastAsia"/>
          <w:sz w:val="32"/>
          <w:szCs w:val="32"/>
        </w:rPr>
        <w:t>值予以</w:t>
      </w:r>
      <w:proofErr w:type="gramEnd"/>
      <w:r>
        <w:rPr>
          <w:rFonts w:ascii="仿宋_GB2312" w:eastAsia="仿宋_GB2312" w:hAnsi="黑体" w:hint="eastAsia"/>
          <w:sz w:val="32"/>
          <w:szCs w:val="32"/>
        </w:rPr>
        <w:t>体现，扣0.50分。</w:t>
      </w:r>
    </w:p>
    <w:p w:rsidR="00EB0E81" w:rsidRDefault="00B643A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项目过程总分40.00分，实际得分28.00分，扣12.50分。扣分明细为：自评报告未对绩效目标进行描述扣1分；未对绩效评价组织实施情况进行描述扣1分；专项经费用于职工公积金、人员经费、税收征管</w:t>
      </w:r>
      <w:proofErr w:type="gramStart"/>
      <w:r>
        <w:rPr>
          <w:rFonts w:ascii="仿宋_GB2312" w:eastAsia="仿宋_GB2312" w:hAnsi="黑体" w:hint="eastAsia"/>
          <w:sz w:val="32"/>
          <w:szCs w:val="32"/>
        </w:rPr>
        <w:t>奖金等扣1分</w:t>
      </w:r>
      <w:proofErr w:type="gramEnd"/>
      <w:r>
        <w:rPr>
          <w:rFonts w:ascii="仿宋_GB2312" w:eastAsia="仿宋_GB2312" w:hAnsi="黑体" w:hint="eastAsia"/>
          <w:sz w:val="32"/>
          <w:szCs w:val="32"/>
        </w:rPr>
        <w:t>；报销无费用报销审批单扣1分；报销餐费陪餐人数超标扣1分；发票抬头不合</w:t>
      </w:r>
      <w:proofErr w:type="gramStart"/>
      <w:r>
        <w:rPr>
          <w:rFonts w:ascii="仿宋_GB2312" w:eastAsia="仿宋_GB2312" w:hAnsi="黑体" w:hint="eastAsia"/>
          <w:sz w:val="32"/>
          <w:szCs w:val="32"/>
        </w:rPr>
        <w:t>规</w:t>
      </w:r>
      <w:proofErr w:type="gramEnd"/>
      <w:r>
        <w:rPr>
          <w:rFonts w:ascii="仿宋_GB2312" w:eastAsia="仿宋_GB2312" w:hAnsi="黑体" w:hint="eastAsia"/>
          <w:sz w:val="32"/>
          <w:szCs w:val="32"/>
        </w:rPr>
        <w:t>扣1分；收款人与发票开具方不一致扣1分；部分奖励、补助未附相关文件扣1分；两笔餐费超标扣1分;</w:t>
      </w:r>
      <w:r>
        <w:rPr>
          <w:rFonts w:ascii="仿宋_GB2312" w:eastAsia="仿宋_GB2312" w:hAnsi="黑体" w:hint="eastAsia"/>
          <w:sz w:val="32"/>
          <w:szCs w:val="32"/>
        </w:rPr>
        <w:lastRenderedPageBreak/>
        <w:t>合同未约定工期扣1分；部分资产应计未计入固定资产扣1分；未附采购验收资料扣1分。</w:t>
      </w:r>
    </w:p>
    <w:p w:rsidR="00EB0E81" w:rsidRDefault="00B643A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项目产出总分30.00分，实际得分28.00分，扣2.00分。扣分明细为：全年完成船舶工业总产值70.30亿元，未达到80亿元扣2分。</w:t>
      </w:r>
    </w:p>
    <w:p w:rsidR="00EB0E81" w:rsidRDefault="00B643AD">
      <w:pPr>
        <w:numPr>
          <w:ilvl w:val="0"/>
          <w:numId w:val="5"/>
        </w:numPr>
        <w:ind w:firstLineChars="200" w:firstLine="640"/>
        <w:rPr>
          <w:rFonts w:ascii="仿宋_GB2312" w:eastAsia="仿宋_GB2312" w:hAnsi="黑体"/>
          <w:sz w:val="32"/>
          <w:szCs w:val="32"/>
        </w:rPr>
      </w:pPr>
      <w:r>
        <w:rPr>
          <w:rFonts w:ascii="仿宋_GB2312" w:eastAsia="仿宋_GB2312" w:hAnsi="黑体" w:hint="eastAsia"/>
          <w:sz w:val="32"/>
          <w:szCs w:val="32"/>
        </w:rPr>
        <w:t>项目效益总分20.00分，实际得分20.00分。</w:t>
      </w:r>
    </w:p>
    <w:p w:rsidR="00EB0E81" w:rsidRDefault="00B643AD">
      <w:pPr>
        <w:ind w:firstLineChars="200" w:firstLine="640"/>
        <w:rPr>
          <w:rFonts w:ascii="仿宋_GB2312" w:eastAsia="仿宋_GB2312"/>
          <w:sz w:val="32"/>
          <w:szCs w:val="32"/>
        </w:rPr>
      </w:pPr>
      <w:r>
        <w:rPr>
          <w:rFonts w:eastAsia="仿宋_GB2312" w:hint="eastAsia"/>
          <w:sz w:val="32"/>
          <w:szCs w:val="32"/>
        </w:rPr>
        <w:t>各指标得分及扣分情况，见</w:t>
      </w:r>
      <w:r>
        <w:rPr>
          <w:rFonts w:ascii="仿宋_GB2312" w:eastAsia="仿宋_GB2312" w:hint="eastAsia"/>
          <w:sz w:val="32"/>
          <w:szCs w:val="32"/>
        </w:rPr>
        <w:t>附件一《2020年船舶园单位专项经费绩效评价指标评分表》</w:t>
      </w:r>
    </w:p>
    <w:p w:rsidR="00EB0E81" w:rsidRDefault="00B643AD">
      <w:pPr>
        <w:ind w:firstLineChars="200" w:firstLine="643"/>
        <w:rPr>
          <w:rFonts w:ascii="黑体" w:eastAsia="黑体" w:hAnsi="黑体" w:cs="黑体"/>
          <w:b/>
          <w:bCs/>
          <w:sz w:val="32"/>
          <w:szCs w:val="32"/>
        </w:rPr>
      </w:pPr>
      <w:r>
        <w:rPr>
          <w:rFonts w:ascii="黑体" w:eastAsia="黑体" w:hAnsi="黑体" w:cs="黑体" w:hint="eastAsia"/>
          <w:b/>
          <w:bCs/>
          <w:sz w:val="32"/>
          <w:szCs w:val="32"/>
        </w:rPr>
        <w:t>六、存在问题</w:t>
      </w:r>
    </w:p>
    <w:p w:rsidR="00EB0E81" w:rsidRDefault="00B643AD">
      <w:pPr>
        <w:ind w:firstLineChars="200" w:firstLine="643"/>
        <w:rPr>
          <w:rFonts w:ascii="仿宋_GB2312" w:eastAsia="仿宋_GB2312"/>
          <w:b/>
          <w:bCs/>
          <w:sz w:val="32"/>
          <w:szCs w:val="32"/>
        </w:rPr>
      </w:pPr>
      <w:bookmarkStart w:id="0" w:name="_Hlk53492305"/>
      <w:r>
        <w:rPr>
          <w:rFonts w:ascii="仿宋_GB2312" w:eastAsia="仿宋_GB2312" w:hint="eastAsia"/>
          <w:b/>
          <w:bCs/>
          <w:sz w:val="32"/>
          <w:szCs w:val="32"/>
        </w:rPr>
        <w:t>（一）绩效目标不够细化具体</w:t>
      </w:r>
    </w:p>
    <w:p w:rsidR="00EB0E81" w:rsidRDefault="00B643AD">
      <w:pPr>
        <w:ind w:firstLineChars="200" w:firstLine="640"/>
      </w:pPr>
      <w:proofErr w:type="gramStart"/>
      <w:r>
        <w:rPr>
          <w:rFonts w:ascii="仿宋_GB2312" w:eastAsia="仿宋_GB2312" w:hint="eastAsia"/>
          <w:sz w:val="32"/>
          <w:szCs w:val="32"/>
        </w:rPr>
        <w:t>船舶园</w:t>
      </w:r>
      <w:proofErr w:type="gramEnd"/>
      <w:r>
        <w:rPr>
          <w:rFonts w:ascii="仿宋_GB2312" w:eastAsia="仿宋_GB2312" w:hint="eastAsia"/>
          <w:sz w:val="32"/>
          <w:szCs w:val="32"/>
        </w:rPr>
        <w:t>2020年度单位专项绩效目标描述不具体，未通过清晰、可衡量的指标</w:t>
      </w:r>
      <w:proofErr w:type="gramStart"/>
      <w:r>
        <w:rPr>
          <w:rFonts w:ascii="仿宋_GB2312" w:eastAsia="仿宋_GB2312" w:hint="eastAsia"/>
          <w:sz w:val="32"/>
          <w:szCs w:val="32"/>
        </w:rPr>
        <w:t>值予以</w:t>
      </w:r>
      <w:proofErr w:type="gramEnd"/>
      <w:r>
        <w:rPr>
          <w:rFonts w:ascii="仿宋_GB2312" w:eastAsia="仿宋_GB2312" w:hint="eastAsia"/>
          <w:sz w:val="32"/>
          <w:szCs w:val="32"/>
        </w:rPr>
        <w:t>体现。</w:t>
      </w:r>
    </w:p>
    <w:p w:rsidR="00EB0E81" w:rsidRDefault="00B643A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黑体" w:hint="eastAsia"/>
          <w:b/>
          <w:bCs/>
          <w:sz w:val="32"/>
          <w:szCs w:val="32"/>
        </w:rPr>
        <w:t>专项资金未专款专用</w:t>
      </w:r>
    </w:p>
    <w:p w:rsidR="00EB0E81" w:rsidRDefault="00B643AD">
      <w:pPr>
        <w:ind w:firstLineChars="200" w:firstLine="640"/>
        <w:rPr>
          <w:rFonts w:ascii="仿宋_GB2312" w:eastAsia="仿宋_GB2312" w:hAnsi="黑体"/>
          <w:bCs/>
          <w:sz w:val="32"/>
          <w:szCs w:val="32"/>
        </w:rPr>
      </w:pPr>
      <w:proofErr w:type="gramStart"/>
      <w:r>
        <w:rPr>
          <w:rFonts w:ascii="仿宋_GB2312" w:eastAsia="仿宋_GB2312" w:hAnsi="黑体" w:hint="eastAsia"/>
          <w:bCs/>
          <w:sz w:val="32"/>
          <w:szCs w:val="32"/>
        </w:rPr>
        <w:t>船舶园</w:t>
      </w:r>
      <w:proofErr w:type="gramEnd"/>
      <w:r>
        <w:rPr>
          <w:rFonts w:ascii="仿宋_GB2312" w:eastAsia="仿宋_GB2312" w:hAnsi="黑体" w:hint="eastAsia"/>
          <w:bCs/>
          <w:sz w:val="32"/>
          <w:szCs w:val="32"/>
        </w:rPr>
        <w:t>将单位专项资金</w:t>
      </w:r>
      <w:proofErr w:type="gramStart"/>
      <w:r>
        <w:rPr>
          <w:rFonts w:ascii="仿宋_GB2312" w:eastAsia="仿宋_GB2312" w:hAnsi="黑体" w:hint="eastAsia"/>
          <w:bCs/>
          <w:sz w:val="32"/>
          <w:szCs w:val="32"/>
        </w:rPr>
        <w:t>用于奖补资金</w:t>
      </w:r>
      <w:proofErr w:type="gramEnd"/>
      <w:r>
        <w:rPr>
          <w:rFonts w:ascii="仿宋_GB2312" w:eastAsia="仿宋_GB2312" w:hAnsi="黑体" w:hint="eastAsia"/>
          <w:bCs/>
          <w:sz w:val="32"/>
          <w:szCs w:val="32"/>
        </w:rPr>
        <w:t>、职工住房公积金、职业年金、项目用地委托报批费，具体情况见表6-1：</w:t>
      </w:r>
    </w:p>
    <w:p w:rsidR="00EB0E81" w:rsidRDefault="00B643AD">
      <w:pPr>
        <w:pStyle w:val="a5"/>
        <w:spacing w:after="0"/>
        <w:jc w:val="center"/>
        <w:rPr>
          <w:rFonts w:ascii="仿宋_GB2312" w:eastAsia="仿宋_GB2312"/>
          <w:b/>
          <w:bCs/>
          <w:szCs w:val="24"/>
        </w:rPr>
      </w:pPr>
      <w:r>
        <w:rPr>
          <w:rFonts w:ascii="仿宋_GB2312" w:eastAsia="仿宋_GB2312" w:hint="eastAsia"/>
          <w:b/>
          <w:szCs w:val="24"/>
        </w:rPr>
        <w:t xml:space="preserve">表6-1  </w:t>
      </w:r>
      <w:r>
        <w:rPr>
          <w:rFonts w:ascii="仿宋_GB2312" w:eastAsia="仿宋_GB2312" w:hint="eastAsia"/>
          <w:b/>
          <w:bCs/>
          <w:szCs w:val="24"/>
        </w:rPr>
        <w:t>项目未专款专用支出明细</w:t>
      </w:r>
    </w:p>
    <w:p w:rsidR="00EB0E81" w:rsidRDefault="00B643AD">
      <w:pPr>
        <w:pStyle w:val="a0"/>
        <w:ind w:firstLineChars="3600" w:firstLine="7200"/>
      </w:pPr>
      <w:r>
        <w:rPr>
          <w:rFonts w:ascii="仿宋_GB2312" w:eastAsia="仿宋_GB2312" w:hAnsi="黑体" w:hint="eastAsia"/>
          <w:bCs/>
          <w:sz w:val="20"/>
          <w:szCs w:val="20"/>
        </w:rPr>
        <w:t>单位：万元</w:t>
      </w:r>
    </w:p>
    <w:tbl>
      <w:tblPr>
        <w:tblpPr w:leftFromText="180" w:rightFromText="180" w:vertAnchor="text" w:horzAnchor="page" w:tblpX="1863" w:tblpY="264"/>
        <w:tblOverlap w:val="never"/>
        <w:tblW w:w="8464" w:type="dxa"/>
        <w:tblLayout w:type="fixed"/>
        <w:tblLook w:val="04A0" w:firstRow="1" w:lastRow="0" w:firstColumn="1" w:lastColumn="0" w:noHBand="0" w:noVBand="1"/>
      </w:tblPr>
      <w:tblGrid>
        <w:gridCol w:w="1245"/>
        <w:gridCol w:w="2620"/>
        <w:gridCol w:w="1119"/>
        <w:gridCol w:w="3480"/>
      </w:tblGrid>
      <w:tr w:rsidR="00EB0E81">
        <w:trPr>
          <w:trHeight w:val="363"/>
          <w:tblHeader/>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凭证号</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摘要</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金额</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EB0E81">
        <w:trPr>
          <w:trHeight w:val="363"/>
          <w:tblHeader/>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2020.1.12#</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付2019年第13个月工资</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2.56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2020.1.19#</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元月份住房公积金单位部份</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2.21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将专项资金用于职工公积金</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付元月份工资</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6.87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2020.1.25#</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拨工会经费</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10.00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用专项资金用于工会经费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2020.1.36#</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预发绩效考核考勤</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2.26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2020.1.43#</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付2018年税收征管奖金</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2.44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将专项资金用于税收征管奖金</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2020.1.45#</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付学习</w:t>
            </w:r>
            <w:proofErr w:type="gramEnd"/>
            <w:r>
              <w:rPr>
                <w:rFonts w:ascii="仿宋" w:eastAsia="仿宋" w:hAnsi="仿宋" w:cs="仿宋" w:hint="eastAsia"/>
                <w:color w:val="000000"/>
                <w:kern w:val="0"/>
                <w:sz w:val="20"/>
                <w:szCs w:val="20"/>
                <w:lang w:bidi="ar"/>
              </w:rPr>
              <w:t>奖励金</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0.43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将专项资金用于奖励金</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2020.1.48#</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付安全生产奖金</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0.30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将专项资金用于安全生产奖金</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2020.3.9#</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付3月份工资</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2.55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凭证号</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摘要</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金额</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2020.4.11#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付4月份工资</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6.50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2020.7.16</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6月份住房公积金单位部份</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1.97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将专项资金用于职工公积金</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2020.9.21#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预发7月份绩效工资</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1.99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2020.9.70#</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预发8月份绩效奖金</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2.17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将专项资金用于基本支出（人员经费）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2020.11.1#</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2020年下半年工会经费</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 xml:space="preserve">8.36 </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将专项经费用于工会经费</w:t>
            </w:r>
          </w:p>
        </w:tc>
      </w:tr>
      <w:tr w:rsidR="00EB0E81">
        <w:trPr>
          <w:trHeight w:val="363"/>
        </w:trPr>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合计</w:t>
            </w:r>
          </w:p>
        </w:tc>
        <w:tc>
          <w:tcPr>
            <w:tcW w:w="2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EB0E81">
            <w:pPr>
              <w:jc w:val="center"/>
              <w:rPr>
                <w:rFonts w:ascii="仿宋" w:eastAsia="仿宋" w:hAnsi="仿宋" w:cs="仿宋"/>
                <w:color w:val="000000"/>
                <w:sz w:val="20"/>
                <w:szCs w:val="20"/>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50.61</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EB0E81">
            <w:pPr>
              <w:rPr>
                <w:rFonts w:ascii="仿宋" w:eastAsia="仿宋" w:hAnsi="仿宋" w:cs="仿宋"/>
                <w:color w:val="000000"/>
                <w:sz w:val="20"/>
                <w:szCs w:val="20"/>
              </w:rPr>
            </w:pPr>
          </w:p>
        </w:tc>
      </w:tr>
    </w:tbl>
    <w:p w:rsidR="00EB0E81" w:rsidRDefault="00B643AD">
      <w:pPr>
        <w:ind w:firstLineChars="200" w:firstLine="643"/>
        <w:rPr>
          <w:rFonts w:ascii="仿宋_GB2312" w:eastAsia="仿宋_GB2312" w:hAnsi="黑体"/>
          <w:b/>
          <w:bCs/>
          <w:sz w:val="32"/>
          <w:szCs w:val="32"/>
        </w:rPr>
      </w:pPr>
      <w:r>
        <w:rPr>
          <w:rFonts w:ascii="仿宋_GB2312" w:eastAsia="仿宋_GB2312" w:hAnsi="仿宋_GB2312" w:cs="仿宋_GB2312" w:hint="eastAsia"/>
          <w:b/>
          <w:bCs/>
          <w:sz w:val="32"/>
          <w:szCs w:val="32"/>
        </w:rPr>
        <w:t>（</w:t>
      </w:r>
      <w:r>
        <w:rPr>
          <w:rFonts w:ascii="仿宋_GB2312" w:eastAsia="仿宋_GB2312" w:hAnsi="黑体" w:hint="eastAsia"/>
          <w:b/>
          <w:bCs/>
          <w:sz w:val="32"/>
          <w:szCs w:val="32"/>
        </w:rPr>
        <w:t>三）财务管理方面不严谨</w:t>
      </w:r>
    </w:p>
    <w:p w:rsidR="00EB0E81" w:rsidRDefault="00B643AD">
      <w:pPr>
        <w:ind w:firstLineChars="200" w:firstLine="640"/>
        <w:rPr>
          <w:rFonts w:ascii="仿宋_GB2312" w:eastAsia="仿宋_GB2312" w:hAnsi="黑体"/>
          <w:bCs/>
          <w:sz w:val="32"/>
          <w:szCs w:val="32"/>
        </w:rPr>
      </w:pPr>
      <w:proofErr w:type="gramStart"/>
      <w:r>
        <w:rPr>
          <w:rFonts w:ascii="仿宋_GB2312" w:eastAsia="仿宋_GB2312" w:hAnsi="黑体" w:hint="eastAsia"/>
          <w:bCs/>
          <w:sz w:val="32"/>
          <w:szCs w:val="32"/>
        </w:rPr>
        <w:t>船舶园</w:t>
      </w:r>
      <w:proofErr w:type="gramEnd"/>
      <w:r>
        <w:rPr>
          <w:rFonts w:ascii="仿宋_GB2312" w:eastAsia="仿宋_GB2312" w:hAnsi="黑体" w:hint="eastAsia"/>
          <w:bCs/>
          <w:sz w:val="32"/>
          <w:szCs w:val="32"/>
        </w:rPr>
        <w:t>财务管理方面存在报销无费用报销审批单；报销餐费陪餐人数超标；发票抬头不合</w:t>
      </w:r>
      <w:proofErr w:type="gramStart"/>
      <w:r>
        <w:rPr>
          <w:rFonts w:ascii="仿宋_GB2312" w:eastAsia="仿宋_GB2312" w:hAnsi="黑体" w:hint="eastAsia"/>
          <w:bCs/>
          <w:sz w:val="32"/>
          <w:szCs w:val="32"/>
        </w:rPr>
        <w:t>规</w:t>
      </w:r>
      <w:proofErr w:type="gramEnd"/>
      <w:r>
        <w:rPr>
          <w:rFonts w:ascii="仿宋_GB2312" w:eastAsia="仿宋_GB2312" w:hAnsi="黑体" w:hint="eastAsia"/>
          <w:bCs/>
          <w:sz w:val="32"/>
          <w:szCs w:val="32"/>
        </w:rPr>
        <w:t>；收款人与发票开具方不一致；部分奖励、补助未附相关文件；两笔餐费超标;合同未约定工期；部分资产应计未计入固定资产；未附采购验收资料等问题，具体情况见表6-2：</w:t>
      </w:r>
    </w:p>
    <w:p w:rsidR="00EB0E81" w:rsidRDefault="00B643AD">
      <w:pPr>
        <w:pStyle w:val="a0"/>
        <w:jc w:val="center"/>
        <w:rPr>
          <w:rFonts w:ascii="仿宋_GB2312" w:eastAsia="仿宋_GB2312"/>
          <w:b/>
          <w:bCs/>
          <w:sz w:val="24"/>
          <w:szCs w:val="24"/>
        </w:rPr>
      </w:pPr>
      <w:r>
        <w:rPr>
          <w:rFonts w:ascii="仿宋_GB2312" w:eastAsia="仿宋_GB2312" w:hint="eastAsia"/>
          <w:b/>
          <w:sz w:val="24"/>
          <w:szCs w:val="24"/>
        </w:rPr>
        <w:t>表6-2  支出不规范情况表</w:t>
      </w:r>
    </w:p>
    <w:p w:rsidR="00EB0E81" w:rsidRDefault="00B643AD">
      <w:pPr>
        <w:pStyle w:val="a0"/>
        <w:jc w:val="right"/>
        <w:rPr>
          <w:rFonts w:ascii="仿宋_GB2312" w:eastAsia="仿宋_GB2312" w:hAnsi="黑体"/>
          <w:bCs/>
          <w:sz w:val="20"/>
          <w:szCs w:val="20"/>
        </w:rPr>
      </w:pPr>
      <w:r>
        <w:rPr>
          <w:rFonts w:ascii="仿宋_GB2312" w:eastAsia="仿宋_GB2312" w:hAnsi="黑体" w:hint="eastAsia"/>
          <w:bCs/>
          <w:sz w:val="20"/>
          <w:szCs w:val="20"/>
        </w:rPr>
        <w:t>单位：万元</w:t>
      </w:r>
    </w:p>
    <w:p w:rsidR="00EB0E81" w:rsidRDefault="00EB0E81">
      <w:pPr>
        <w:pStyle w:val="a0"/>
        <w:jc w:val="right"/>
        <w:rPr>
          <w:rFonts w:ascii="仿宋_GB2312" w:eastAsia="仿宋_GB2312" w:hAnsi="黑体"/>
          <w:bCs/>
          <w:sz w:val="20"/>
          <w:szCs w:val="20"/>
        </w:rPr>
      </w:pPr>
    </w:p>
    <w:tbl>
      <w:tblPr>
        <w:tblW w:w="8426" w:type="dxa"/>
        <w:tblInd w:w="96" w:type="dxa"/>
        <w:tblLayout w:type="fixed"/>
        <w:tblLook w:val="04A0" w:firstRow="1" w:lastRow="0" w:firstColumn="1" w:lastColumn="0" w:noHBand="0" w:noVBand="1"/>
      </w:tblPr>
      <w:tblGrid>
        <w:gridCol w:w="1350"/>
        <w:gridCol w:w="2170"/>
        <w:gridCol w:w="1120"/>
        <w:gridCol w:w="3786"/>
      </w:tblGrid>
      <w:tr w:rsidR="00EB0E81">
        <w:trPr>
          <w:trHeight w:val="312"/>
          <w:tblHeader/>
        </w:trPr>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凭证号</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摘要</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金额</w:t>
            </w:r>
          </w:p>
        </w:tc>
        <w:tc>
          <w:tcPr>
            <w:tcW w:w="3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EB0E81">
        <w:trPr>
          <w:trHeight w:val="504"/>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2020.1.3#</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编制船舶报费用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1.00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其中一笔5000</w:t>
            </w:r>
            <w:r>
              <w:rPr>
                <w:rStyle w:val="font21"/>
                <w:rFonts w:ascii="仿宋" w:eastAsia="仿宋" w:hAnsi="仿宋" w:cs="仿宋" w:hint="default"/>
                <w:lang w:bidi="ar"/>
              </w:rPr>
              <w:t>元收款人为肖皓夫，发票</w:t>
            </w:r>
            <w:r>
              <w:rPr>
                <w:rStyle w:val="font21"/>
                <w:rFonts w:ascii="仿宋" w:eastAsia="仿宋" w:hAnsi="仿宋" w:cs="仿宋" w:hint="default"/>
                <w:lang w:bidi="ar"/>
              </w:rPr>
              <w:lastRenderedPageBreak/>
              <w:t>开具方为沅江市作家图文工作室</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lastRenderedPageBreak/>
              <w:t>2020.1.4#</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行车补助（2018-2019）</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0.80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该项补助无相关文件</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2020.1.6#</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办公用品费用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0.19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无费用报销审批单</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2020.1.48#</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付安全生产奖金</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0.30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未附相关奖励文件</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2020.4.5#</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办公费用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2.64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未附采购验收单</w:t>
            </w:r>
          </w:p>
        </w:tc>
      </w:tr>
      <w:tr w:rsidR="00EB0E81">
        <w:trPr>
          <w:trHeight w:val="504"/>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2020.4.20#</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办公费用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1.17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此次采购中有一台1880</w:t>
            </w:r>
            <w:r>
              <w:rPr>
                <w:rStyle w:val="font21"/>
                <w:rFonts w:ascii="仿宋" w:eastAsia="仿宋" w:hAnsi="仿宋" w:cs="仿宋" w:hint="default"/>
                <w:lang w:bidi="ar"/>
              </w:rPr>
              <w:t>元的</w:t>
            </w:r>
            <w:r>
              <w:rPr>
                <w:rFonts w:ascii="仿宋" w:eastAsia="仿宋" w:hAnsi="仿宋" w:cs="仿宋" w:hint="eastAsia"/>
                <w:color w:val="000000"/>
                <w:kern w:val="0"/>
                <w:sz w:val="20"/>
                <w:szCs w:val="20"/>
                <w:lang w:bidi="ar"/>
              </w:rPr>
              <w:t>HP</w:t>
            </w:r>
            <w:r>
              <w:rPr>
                <w:rStyle w:val="font21"/>
                <w:rFonts w:ascii="仿宋" w:eastAsia="仿宋" w:hAnsi="仿宋" w:cs="仿宋" w:hint="default"/>
                <w:lang w:bidi="ar"/>
              </w:rPr>
              <w:t>激光打印机，应计未计入固定资产</w:t>
            </w:r>
          </w:p>
        </w:tc>
      </w:tr>
      <w:tr w:rsidR="00EB0E81">
        <w:trPr>
          <w:trHeight w:val="528"/>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2020.4.27#</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报招商引资费</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0.20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两笔餐费来客人数分别为5</w:t>
            </w:r>
            <w:r>
              <w:rPr>
                <w:rStyle w:val="font21"/>
                <w:rFonts w:ascii="仿宋" w:eastAsia="仿宋" w:hAnsi="仿宋" w:cs="仿宋" w:hint="default"/>
                <w:lang w:bidi="ar"/>
              </w:rPr>
              <w:t>人、</w:t>
            </w:r>
            <w:r>
              <w:rPr>
                <w:rFonts w:ascii="仿宋" w:eastAsia="仿宋" w:hAnsi="仿宋" w:cs="仿宋" w:hint="eastAsia"/>
                <w:color w:val="000000"/>
                <w:kern w:val="0"/>
                <w:sz w:val="20"/>
                <w:szCs w:val="20"/>
                <w:lang w:bidi="ar"/>
              </w:rPr>
              <w:t>6</w:t>
            </w:r>
            <w:r>
              <w:rPr>
                <w:rStyle w:val="font21"/>
                <w:rFonts w:ascii="仿宋" w:eastAsia="仿宋" w:hAnsi="仿宋" w:cs="仿宋" w:hint="default"/>
                <w:lang w:bidi="ar"/>
              </w:rPr>
              <w:t>人，陪餐人员都为</w:t>
            </w:r>
            <w:r>
              <w:rPr>
                <w:rFonts w:ascii="仿宋" w:eastAsia="仿宋" w:hAnsi="仿宋" w:cs="仿宋" w:hint="eastAsia"/>
                <w:color w:val="000000"/>
                <w:kern w:val="0"/>
                <w:sz w:val="20"/>
                <w:szCs w:val="20"/>
                <w:lang w:bidi="ar"/>
              </w:rPr>
              <w:t>4</w:t>
            </w:r>
            <w:r>
              <w:rPr>
                <w:rStyle w:val="font21"/>
                <w:rFonts w:ascii="仿宋" w:eastAsia="仿宋" w:hAnsi="仿宋" w:cs="仿宋" w:hint="default"/>
                <w:lang w:bidi="ar"/>
              </w:rPr>
              <w:t>人，陪餐人数超过标准</w:t>
            </w:r>
          </w:p>
        </w:tc>
      </w:tr>
      <w:tr w:rsidR="00EB0E81">
        <w:trPr>
          <w:trHeight w:val="504"/>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2020.5.20#</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电脑耗材</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0.63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此次采购两台单价为1880</w:t>
            </w:r>
            <w:r>
              <w:rPr>
                <w:rStyle w:val="font21"/>
                <w:rFonts w:ascii="仿宋" w:eastAsia="仿宋" w:hAnsi="仿宋" w:cs="仿宋" w:hint="default"/>
                <w:lang w:bidi="ar"/>
              </w:rPr>
              <w:t>元的</w:t>
            </w:r>
            <w:r>
              <w:rPr>
                <w:rFonts w:ascii="仿宋" w:eastAsia="仿宋" w:hAnsi="仿宋" w:cs="仿宋" w:hint="eastAsia"/>
                <w:color w:val="000000"/>
                <w:kern w:val="0"/>
                <w:sz w:val="20"/>
                <w:szCs w:val="20"/>
                <w:lang w:bidi="ar"/>
              </w:rPr>
              <w:t>HP</w:t>
            </w:r>
            <w:r>
              <w:rPr>
                <w:rStyle w:val="font21"/>
                <w:rFonts w:ascii="仿宋" w:eastAsia="仿宋" w:hAnsi="仿宋" w:cs="仿宋" w:hint="default"/>
                <w:lang w:bidi="ar"/>
              </w:rPr>
              <w:t>激光打印机，应计未计入固定资产</w:t>
            </w:r>
          </w:p>
        </w:tc>
      </w:tr>
      <w:tr w:rsidR="00EB0E81">
        <w:trPr>
          <w:trHeight w:val="1032"/>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2020.7.23#</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拆迁、政法工作经费</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0.32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其中一笔餐费为860</w:t>
            </w:r>
            <w:r>
              <w:rPr>
                <w:rStyle w:val="font21"/>
                <w:rFonts w:ascii="仿宋" w:eastAsia="仿宋" w:hAnsi="仿宋" w:cs="仿宋" w:hint="default"/>
                <w:lang w:bidi="ar"/>
              </w:rPr>
              <w:t>元，就餐人数为</w:t>
            </w:r>
            <w:r>
              <w:rPr>
                <w:rFonts w:ascii="仿宋" w:eastAsia="仿宋" w:hAnsi="仿宋" w:cs="仿宋" w:hint="eastAsia"/>
                <w:color w:val="000000"/>
                <w:kern w:val="0"/>
                <w:sz w:val="20"/>
                <w:szCs w:val="20"/>
                <w:lang w:bidi="ar"/>
              </w:rPr>
              <w:t>14</w:t>
            </w:r>
            <w:r>
              <w:rPr>
                <w:rStyle w:val="font21"/>
                <w:rFonts w:ascii="仿宋" w:eastAsia="仿宋" w:hAnsi="仿宋" w:cs="仿宋" w:hint="default"/>
                <w:lang w:bidi="ar"/>
              </w:rPr>
              <w:t>人，人均</w:t>
            </w:r>
            <w:r>
              <w:rPr>
                <w:rFonts w:ascii="仿宋" w:eastAsia="仿宋" w:hAnsi="仿宋" w:cs="仿宋" w:hint="eastAsia"/>
                <w:color w:val="000000"/>
                <w:kern w:val="0"/>
                <w:sz w:val="20"/>
                <w:szCs w:val="20"/>
                <w:lang w:bidi="ar"/>
              </w:rPr>
              <w:t>61.43</w:t>
            </w:r>
            <w:r>
              <w:rPr>
                <w:rStyle w:val="font21"/>
                <w:rFonts w:ascii="仿宋" w:eastAsia="仿宋" w:hAnsi="仿宋" w:cs="仿宋" w:hint="default"/>
                <w:lang w:bidi="ar"/>
              </w:rPr>
              <w:t>元，一笔餐费为</w:t>
            </w:r>
            <w:r>
              <w:rPr>
                <w:rFonts w:ascii="仿宋" w:eastAsia="仿宋" w:hAnsi="仿宋" w:cs="仿宋" w:hint="eastAsia"/>
                <w:color w:val="000000"/>
                <w:kern w:val="0"/>
                <w:sz w:val="20"/>
                <w:szCs w:val="20"/>
                <w:lang w:bidi="ar"/>
              </w:rPr>
              <w:t>390</w:t>
            </w:r>
            <w:r>
              <w:rPr>
                <w:rStyle w:val="font21"/>
                <w:rFonts w:ascii="仿宋" w:eastAsia="仿宋" w:hAnsi="仿宋" w:cs="仿宋" w:hint="default"/>
                <w:lang w:bidi="ar"/>
              </w:rPr>
              <w:t>元，就餐人数为</w:t>
            </w:r>
            <w:r>
              <w:rPr>
                <w:rFonts w:ascii="仿宋" w:eastAsia="仿宋" w:hAnsi="仿宋" w:cs="仿宋" w:hint="eastAsia"/>
                <w:color w:val="000000"/>
                <w:kern w:val="0"/>
                <w:sz w:val="20"/>
                <w:szCs w:val="20"/>
                <w:lang w:bidi="ar"/>
              </w:rPr>
              <w:t>8</w:t>
            </w:r>
            <w:r>
              <w:rPr>
                <w:rStyle w:val="font21"/>
                <w:rFonts w:ascii="仿宋" w:eastAsia="仿宋" w:hAnsi="仿宋" w:cs="仿宋" w:hint="default"/>
                <w:lang w:bidi="ar"/>
              </w:rPr>
              <w:t>人，人均</w:t>
            </w:r>
            <w:r>
              <w:rPr>
                <w:rFonts w:ascii="仿宋" w:eastAsia="仿宋" w:hAnsi="仿宋" w:cs="仿宋" w:hint="eastAsia"/>
                <w:color w:val="000000"/>
                <w:kern w:val="0"/>
                <w:sz w:val="20"/>
                <w:szCs w:val="20"/>
                <w:lang w:bidi="ar"/>
              </w:rPr>
              <w:t>48.75</w:t>
            </w:r>
            <w:r>
              <w:rPr>
                <w:rStyle w:val="font21"/>
                <w:rFonts w:ascii="仿宋" w:eastAsia="仿宋" w:hAnsi="仿宋" w:cs="仿宋" w:hint="default"/>
                <w:lang w:bidi="ar"/>
              </w:rPr>
              <w:t>元，两笔餐费均超过标准</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2020.7.24#</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五城同创庭院改选及宣传展示栏</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8.70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合同未约定工期</w:t>
            </w:r>
          </w:p>
        </w:tc>
      </w:tr>
      <w:tr w:rsidR="00EB0E81">
        <w:trPr>
          <w:trHeight w:val="4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2020.7.26#</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计算机维修与耗材</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0.59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此次采购1台单价为3980元ACERC24一体机电脑，应计未计入固定资产</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2020.8.8#</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金融示范园区宣传资</w:t>
            </w:r>
            <w:r>
              <w:rPr>
                <w:rFonts w:ascii="仿宋" w:eastAsia="仿宋" w:hAnsi="仿宋" w:cs="仿宋" w:hint="eastAsia"/>
                <w:color w:val="000000"/>
                <w:kern w:val="0"/>
                <w:sz w:val="20"/>
                <w:szCs w:val="20"/>
                <w:lang w:bidi="ar"/>
              </w:rPr>
              <w:lastRenderedPageBreak/>
              <w:t>料印刷费</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lastRenderedPageBreak/>
              <w:t xml:space="preserve">1.36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未附采购验收单</w:t>
            </w:r>
          </w:p>
        </w:tc>
      </w:tr>
      <w:tr w:rsidR="00EB0E81">
        <w:trPr>
          <w:trHeight w:val="4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lastRenderedPageBreak/>
              <w:t>2020.9.39#</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办公用品费用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0.29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发票抬头为湖南沅江金洲船舶制造产业开发有限公司</w:t>
            </w:r>
          </w:p>
        </w:tc>
      </w:tr>
      <w:tr w:rsidR="00EB0E81">
        <w:trPr>
          <w:trHeight w:val="380"/>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2020.12.71#</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中远海运接待费用</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0.62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发票抬头为</w:t>
            </w:r>
            <w:proofErr w:type="gramStart"/>
            <w:r>
              <w:rPr>
                <w:rFonts w:ascii="仿宋" w:eastAsia="仿宋" w:hAnsi="仿宋" w:cs="仿宋" w:hint="eastAsia"/>
                <w:color w:val="000000"/>
                <w:kern w:val="0"/>
                <w:sz w:val="20"/>
                <w:szCs w:val="20"/>
                <w:lang w:bidi="ar"/>
              </w:rPr>
              <w:t>船舶园</w:t>
            </w:r>
            <w:proofErr w:type="gramEnd"/>
          </w:p>
        </w:tc>
      </w:tr>
      <w:tr w:rsidR="00EB0E81">
        <w:trPr>
          <w:trHeight w:val="312"/>
        </w:trPr>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81" w:rsidRDefault="00B643AD">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合计</w:t>
            </w:r>
          </w:p>
        </w:tc>
        <w:tc>
          <w:tcPr>
            <w:tcW w:w="2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EB0E81">
            <w:pPr>
              <w:rPr>
                <w:rFonts w:ascii="仿宋" w:eastAsia="仿宋" w:hAnsi="仿宋" w:cs="仿宋"/>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B643AD">
            <w:pPr>
              <w:widowControl/>
              <w:jc w:val="right"/>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lang w:bidi="ar"/>
              </w:rPr>
              <w:t xml:space="preserve">18.81 </w:t>
            </w:r>
          </w:p>
        </w:tc>
        <w:tc>
          <w:tcPr>
            <w:tcW w:w="3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E81" w:rsidRDefault="00EB0E81">
            <w:pPr>
              <w:rPr>
                <w:rFonts w:ascii="仿宋" w:eastAsia="仿宋" w:hAnsi="仿宋" w:cs="仿宋"/>
                <w:color w:val="000000"/>
                <w:sz w:val="20"/>
                <w:szCs w:val="20"/>
              </w:rPr>
            </w:pPr>
          </w:p>
        </w:tc>
      </w:tr>
    </w:tbl>
    <w:p w:rsidR="00EB0E81" w:rsidRDefault="00EB0E81">
      <w:pPr>
        <w:pStyle w:val="a0"/>
      </w:pPr>
    </w:p>
    <w:bookmarkEnd w:id="0"/>
    <w:p w:rsidR="00EB0E81" w:rsidRDefault="00B643AD">
      <w:pPr>
        <w:numPr>
          <w:ilvl w:val="0"/>
          <w:numId w:val="6"/>
        </w:numPr>
        <w:ind w:firstLineChars="200" w:firstLine="643"/>
        <w:rPr>
          <w:rFonts w:ascii="黑体" w:eastAsia="黑体" w:hAnsi="黑体"/>
          <w:b/>
          <w:bCs/>
          <w:sz w:val="32"/>
          <w:szCs w:val="32"/>
        </w:rPr>
      </w:pPr>
      <w:r>
        <w:rPr>
          <w:rFonts w:ascii="黑体" w:eastAsia="黑体" w:hAnsi="黑体" w:hint="eastAsia"/>
          <w:b/>
          <w:bCs/>
          <w:sz w:val="32"/>
          <w:szCs w:val="32"/>
        </w:rPr>
        <w:t>建议</w:t>
      </w:r>
    </w:p>
    <w:p w:rsidR="00EB0E81" w:rsidRDefault="00B643AD">
      <w:pPr>
        <w:ind w:firstLineChars="200" w:firstLine="643"/>
        <w:rPr>
          <w:rFonts w:ascii="仿宋_GB2312" w:eastAsia="仿宋_GB2312" w:hAnsi="黑体"/>
          <w:b/>
          <w:sz w:val="32"/>
          <w:szCs w:val="32"/>
        </w:rPr>
      </w:pPr>
      <w:r>
        <w:rPr>
          <w:rFonts w:ascii="仿宋_GB2312" w:eastAsia="仿宋_GB2312" w:hAnsi="黑体" w:hint="eastAsia"/>
          <w:b/>
          <w:sz w:val="32"/>
          <w:szCs w:val="32"/>
        </w:rPr>
        <w:t>（一）加强绩效目标管理</w:t>
      </w:r>
    </w:p>
    <w:p w:rsidR="00EB0E81" w:rsidRDefault="00B643AD">
      <w:pPr>
        <w:ind w:firstLineChars="200" w:firstLine="640"/>
        <w:rPr>
          <w:rFonts w:ascii="仿宋_GB2312" w:eastAsia="仿宋_GB2312" w:hAnsi="仿宋_GB2312" w:cs="仿宋_GB2312"/>
          <w:sz w:val="32"/>
          <w:szCs w:val="32"/>
        </w:rPr>
      </w:pPr>
      <w:r>
        <w:rPr>
          <w:rFonts w:ascii="仿宋_GB2312" w:eastAsia="仿宋_GB2312" w:hAnsi="黑体" w:hint="eastAsia"/>
          <w:bCs/>
          <w:sz w:val="32"/>
          <w:szCs w:val="32"/>
        </w:rPr>
        <w:t> </w:t>
      </w:r>
      <w:r>
        <w:rPr>
          <w:rFonts w:ascii="仿宋_GB2312" w:eastAsia="仿宋_GB2312" w:hAnsi="黑体" w:hint="eastAsia"/>
          <w:bCs/>
          <w:sz w:val="32"/>
          <w:szCs w:val="32"/>
        </w:rPr>
        <w:t>绩效目标管理是全过程预算绩效管理的源头和出发点，是预算绩效管理的基础，也是部门预算资金安排的重要依据，单位应制定完整的绩效目标管理机制保证绩效目标的有效落地，同时将项目绩效目标细化分解为具体的绩效指标，通过清晰、可衡量的指标</w:t>
      </w:r>
      <w:proofErr w:type="gramStart"/>
      <w:r>
        <w:rPr>
          <w:rFonts w:ascii="仿宋_GB2312" w:eastAsia="仿宋_GB2312" w:hAnsi="黑体" w:hint="eastAsia"/>
          <w:bCs/>
          <w:sz w:val="32"/>
          <w:szCs w:val="32"/>
        </w:rPr>
        <w:t>值予以</w:t>
      </w:r>
      <w:proofErr w:type="gramEnd"/>
      <w:r>
        <w:rPr>
          <w:rFonts w:ascii="仿宋_GB2312" w:eastAsia="仿宋_GB2312" w:hAnsi="黑体" w:hint="eastAsia"/>
          <w:bCs/>
          <w:sz w:val="32"/>
          <w:szCs w:val="32"/>
        </w:rPr>
        <w:t>体现</w:t>
      </w:r>
      <w:r>
        <w:rPr>
          <w:rFonts w:ascii="仿宋_GB2312" w:eastAsia="仿宋_GB2312" w:hAnsi="仿宋_GB2312" w:cs="仿宋_GB2312" w:hint="eastAsia"/>
          <w:sz w:val="32"/>
          <w:szCs w:val="32"/>
        </w:rPr>
        <w:t>。</w:t>
      </w:r>
    </w:p>
    <w:p w:rsidR="00EB0E81" w:rsidRDefault="00B643AD">
      <w:pPr>
        <w:numPr>
          <w:ilvl w:val="0"/>
          <w:numId w:val="7"/>
        </w:numPr>
        <w:ind w:firstLineChars="200" w:firstLine="643"/>
        <w:rPr>
          <w:rFonts w:ascii="仿宋_GB2312" w:eastAsia="仿宋_GB2312" w:hAnsi="黑体"/>
          <w:b/>
          <w:sz w:val="32"/>
          <w:szCs w:val="32"/>
        </w:rPr>
      </w:pPr>
      <w:r>
        <w:rPr>
          <w:rFonts w:ascii="仿宋_GB2312" w:eastAsia="仿宋_GB2312" w:hAnsi="黑体" w:hint="eastAsia"/>
          <w:b/>
          <w:sz w:val="32"/>
          <w:szCs w:val="32"/>
        </w:rPr>
        <w:t>加强专项资金管理</w:t>
      </w:r>
    </w:p>
    <w:p w:rsidR="00EB0E81" w:rsidRDefault="00B643AD">
      <w:pPr>
        <w:ind w:firstLineChars="200" w:firstLine="640"/>
        <w:rPr>
          <w:rFonts w:ascii="仿宋_GB2312" w:eastAsia="仿宋_GB2312" w:hAnsi="黑体" w:cs="Times New Roman"/>
          <w:bCs/>
          <w:sz w:val="32"/>
          <w:szCs w:val="32"/>
        </w:rPr>
      </w:pPr>
      <w:r>
        <w:rPr>
          <w:rFonts w:ascii="仿宋_GB2312" w:eastAsia="仿宋_GB2312" w:hAnsi="黑体" w:cs="Times New Roman" w:hint="eastAsia"/>
          <w:bCs/>
          <w:sz w:val="32"/>
          <w:szCs w:val="32"/>
        </w:rPr>
        <w:t>财政专项资金使用单位应严格执行财经纪律，对专项资金设立专账核算，把好资金支出关，树立专款专用的意识，提高专项资金使用效益。</w:t>
      </w:r>
    </w:p>
    <w:p w:rsidR="00EB0E81" w:rsidRDefault="00B643AD">
      <w:pPr>
        <w:ind w:firstLineChars="200" w:firstLine="643"/>
        <w:rPr>
          <w:rFonts w:ascii="仿宋_GB2312" w:eastAsia="仿宋_GB2312"/>
          <w:b/>
          <w:bCs/>
          <w:sz w:val="32"/>
          <w:szCs w:val="32"/>
        </w:rPr>
      </w:pPr>
      <w:r>
        <w:rPr>
          <w:rFonts w:ascii="仿宋_GB2312" w:eastAsia="仿宋_GB2312" w:hint="eastAsia"/>
          <w:b/>
          <w:bCs/>
          <w:sz w:val="32"/>
          <w:szCs w:val="32"/>
        </w:rPr>
        <w:t>（三）加强财务管理工作</w:t>
      </w:r>
    </w:p>
    <w:p w:rsidR="00EB0E81" w:rsidRDefault="00B643AD">
      <w:pPr>
        <w:ind w:firstLineChars="200" w:firstLine="640"/>
        <w:rPr>
          <w:rFonts w:ascii="仿宋_GB2312" w:eastAsia="仿宋_GB2312"/>
          <w:sz w:val="32"/>
          <w:szCs w:val="32"/>
        </w:rPr>
      </w:pPr>
      <w:proofErr w:type="gramStart"/>
      <w:r>
        <w:rPr>
          <w:rFonts w:ascii="仿宋_GB2312" w:eastAsia="仿宋_GB2312" w:hint="eastAsia"/>
          <w:sz w:val="32"/>
          <w:szCs w:val="32"/>
        </w:rPr>
        <w:t>船舶园应当</w:t>
      </w:r>
      <w:proofErr w:type="gramEnd"/>
      <w:r>
        <w:rPr>
          <w:rFonts w:ascii="仿宋_GB2312" w:eastAsia="仿宋_GB2312" w:hint="eastAsia"/>
          <w:sz w:val="32"/>
          <w:szCs w:val="32"/>
        </w:rPr>
        <w:t>加强原始凭证的审核，</w:t>
      </w:r>
      <w:r>
        <w:rPr>
          <w:rFonts w:ascii="Times New Roman" w:eastAsia="仿宋_GB2312"/>
          <w:sz w:val="32"/>
          <w:szCs w:val="32"/>
        </w:rPr>
        <w:t>重点审核单据内容是否真实、完整，审批手续是否齐全。</w:t>
      </w:r>
      <w:r>
        <w:rPr>
          <w:rFonts w:ascii="仿宋_GB2312" w:eastAsia="仿宋_GB2312" w:hint="eastAsia"/>
          <w:sz w:val="32"/>
          <w:szCs w:val="32"/>
        </w:rPr>
        <w:t>杜绝不合</w:t>
      </w:r>
      <w:proofErr w:type="gramStart"/>
      <w:r>
        <w:rPr>
          <w:rFonts w:ascii="仿宋_GB2312" w:eastAsia="仿宋_GB2312" w:hint="eastAsia"/>
          <w:sz w:val="32"/>
          <w:szCs w:val="32"/>
        </w:rPr>
        <w:t>规</w:t>
      </w:r>
      <w:proofErr w:type="gramEnd"/>
      <w:r>
        <w:rPr>
          <w:rFonts w:ascii="仿宋_GB2312" w:eastAsia="仿宋_GB2312" w:hint="eastAsia"/>
          <w:sz w:val="32"/>
          <w:szCs w:val="32"/>
        </w:rPr>
        <w:t>、不完整、不充分的原始凭证入账。</w:t>
      </w:r>
    </w:p>
    <w:p w:rsidR="00EB0E81" w:rsidRDefault="00B643AD">
      <w:pPr>
        <w:ind w:firstLineChars="200" w:firstLine="640"/>
        <w:rPr>
          <w:rFonts w:ascii="Times New Roman" w:eastAsia="仿宋_GB2312"/>
          <w:bCs/>
          <w:sz w:val="32"/>
          <w:szCs w:val="32"/>
        </w:rPr>
      </w:pPr>
      <w:r>
        <w:rPr>
          <w:rFonts w:ascii="仿宋" w:eastAsia="仿宋" w:hAnsi="仿宋" w:cs="仿宋" w:hint="eastAsia"/>
          <w:sz w:val="32"/>
          <w:szCs w:val="32"/>
        </w:rPr>
        <w:lastRenderedPageBreak/>
        <w:t>加强固定资产管理，对</w:t>
      </w:r>
      <w:r>
        <w:rPr>
          <w:rFonts w:ascii="仿宋_GB2312" w:eastAsia="仿宋_GB2312" w:hAnsi="仿宋_GB2312" w:cs="仿宋_GB2312" w:hint="eastAsia"/>
          <w:spacing w:val="-4"/>
          <w:sz w:val="32"/>
          <w:szCs w:val="28"/>
        </w:rPr>
        <w:t>使用年限超过 1 年（不含 1 年）、单位价值在规定标准以上，并在使用过程中基本保持原有物质形态的资产应计入固定资产。</w:t>
      </w:r>
    </w:p>
    <w:p w:rsidR="00EB0E81" w:rsidRDefault="00B643AD">
      <w:pPr>
        <w:ind w:firstLineChars="200" w:firstLine="640"/>
        <w:rPr>
          <w:rFonts w:ascii="Times New Roman" w:eastAsia="仿宋_GB2312"/>
          <w:bCs/>
          <w:sz w:val="32"/>
          <w:szCs w:val="32"/>
        </w:rPr>
      </w:pPr>
      <w:r>
        <w:rPr>
          <w:rFonts w:ascii="Times New Roman" w:eastAsia="仿宋_GB2312" w:hint="eastAsia"/>
          <w:bCs/>
          <w:sz w:val="32"/>
          <w:szCs w:val="32"/>
        </w:rPr>
        <w:t>加强专项资金支出审核，差旅费、拆迁工作经费等需严格按照相关文件及制度规定报销，不得违反相关规定及超规定标准报销费用。</w:t>
      </w:r>
    </w:p>
    <w:p w:rsidR="00EB0E81" w:rsidRDefault="00B643AD">
      <w:pPr>
        <w:ind w:firstLineChars="200" w:firstLine="643"/>
        <w:rPr>
          <w:rFonts w:ascii="黑体" w:eastAsia="黑体" w:hAnsi="黑体" w:cs="黑体"/>
          <w:b/>
          <w:bCs/>
          <w:sz w:val="32"/>
          <w:szCs w:val="32"/>
        </w:rPr>
      </w:pPr>
      <w:r>
        <w:rPr>
          <w:rFonts w:ascii="黑体" w:eastAsia="黑体" w:hAnsi="黑体" w:cs="黑体" w:hint="eastAsia"/>
          <w:b/>
          <w:bCs/>
          <w:sz w:val="32"/>
          <w:szCs w:val="32"/>
        </w:rPr>
        <w:t>八、绩效评价结果应用建议</w:t>
      </w:r>
    </w:p>
    <w:p w:rsidR="00EB0E81" w:rsidRDefault="00B643AD">
      <w:pPr>
        <w:ind w:firstLineChars="200" w:firstLine="640"/>
        <w:rPr>
          <w:rFonts w:ascii="仿宋_GB2312" w:eastAsia="仿宋_GB2312"/>
          <w:sz w:val="32"/>
          <w:szCs w:val="32"/>
        </w:rPr>
      </w:pPr>
      <w:proofErr w:type="gramStart"/>
      <w:r>
        <w:rPr>
          <w:rFonts w:ascii="仿宋_GB2312" w:eastAsia="仿宋_GB2312" w:hAnsi="仿宋_GB2312" w:cs="仿宋_GB2312" w:hint="eastAsia"/>
          <w:sz w:val="32"/>
          <w:szCs w:val="32"/>
        </w:rPr>
        <w:t>船舶园单位</w:t>
      </w:r>
      <w:proofErr w:type="gramEnd"/>
      <w:r>
        <w:rPr>
          <w:rFonts w:ascii="仿宋_GB2312" w:eastAsia="仿宋_GB2312" w:hAnsi="仿宋_GB2312" w:cs="仿宋_GB2312" w:hint="eastAsia"/>
          <w:sz w:val="32"/>
          <w:szCs w:val="32"/>
        </w:rPr>
        <w:t>专项的实施有序的推进了园区重大产业项目，逐步完善了基础设施，</w:t>
      </w:r>
      <w:r>
        <w:rPr>
          <w:rFonts w:ascii="仿宋_GB2312" w:eastAsia="仿宋_GB2312" w:hAnsi="仿宋_GB2312" w:cs="仿宋_GB2312" w:hint="eastAsia"/>
          <w:bCs/>
          <w:sz w:val="32"/>
          <w:szCs w:val="32"/>
        </w:rPr>
        <w:t>使主要经济指标平稳增长，园区重点企业运行良好，招商引资取得新成效，进一步推动了园区建设迈上新台阶，</w:t>
      </w:r>
      <w:r>
        <w:rPr>
          <w:rFonts w:ascii="仿宋_GB2312" w:eastAsia="仿宋_GB2312" w:hAnsi="仿宋_GB2312" w:cs="仿宋_GB2312" w:hint="eastAsia"/>
          <w:sz w:val="32"/>
          <w:szCs w:val="32"/>
        </w:rPr>
        <w:t>我们建议沅江市财政局继续给予资金支持。</w:t>
      </w:r>
    </w:p>
    <w:p w:rsidR="00EB0E81" w:rsidRDefault="00EB0E81">
      <w:pPr>
        <w:pStyle w:val="a0"/>
        <w:rPr>
          <w:rFonts w:ascii="仿宋_GB2312" w:eastAsia="仿宋_GB2312"/>
          <w:sz w:val="32"/>
          <w:szCs w:val="32"/>
        </w:rPr>
      </w:pPr>
    </w:p>
    <w:p w:rsidR="00EB0E81" w:rsidRDefault="00EB0E81">
      <w:pPr>
        <w:pStyle w:val="a0"/>
        <w:rPr>
          <w:rFonts w:ascii="仿宋_GB2312" w:eastAsia="仿宋_GB2312"/>
          <w:sz w:val="32"/>
          <w:szCs w:val="32"/>
        </w:rPr>
      </w:pPr>
    </w:p>
    <w:p w:rsidR="00EB0E81" w:rsidRDefault="00EB0E81">
      <w:pPr>
        <w:pStyle w:val="a0"/>
        <w:rPr>
          <w:rFonts w:ascii="仿宋_GB2312" w:eastAsia="仿宋_GB2312"/>
          <w:sz w:val="32"/>
          <w:szCs w:val="32"/>
        </w:rPr>
      </w:pPr>
    </w:p>
    <w:p w:rsidR="00EB0E81" w:rsidRDefault="00B643AD">
      <w:pPr>
        <w:ind w:firstLineChars="200" w:firstLine="640"/>
        <w:rPr>
          <w:rFonts w:ascii="仿宋_GB2312" w:eastAsia="仿宋_GB2312"/>
          <w:sz w:val="32"/>
          <w:szCs w:val="32"/>
        </w:rPr>
      </w:pPr>
      <w:r>
        <w:rPr>
          <w:rFonts w:ascii="仿宋_GB2312" w:eastAsia="仿宋_GB2312" w:hint="eastAsia"/>
          <w:sz w:val="32"/>
          <w:szCs w:val="32"/>
        </w:rPr>
        <w:t>附件一：2020年</w:t>
      </w:r>
      <w:proofErr w:type="gramStart"/>
      <w:r>
        <w:rPr>
          <w:rFonts w:ascii="仿宋_GB2312" w:eastAsia="仿宋_GB2312" w:hint="eastAsia"/>
          <w:sz w:val="32"/>
          <w:szCs w:val="32"/>
        </w:rPr>
        <w:t>船舶园单位</w:t>
      </w:r>
      <w:proofErr w:type="gramEnd"/>
      <w:r>
        <w:rPr>
          <w:rFonts w:ascii="仿宋_GB2312" w:eastAsia="仿宋_GB2312" w:hint="eastAsia"/>
          <w:sz w:val="32"/>
          <w:szCs w:val="32"/>
        </w:rPr>
        <w:t>专项经费绩效评价指标评分表</w:t>
      </w:r>
    </w:p>
    <w:p w:rsidR="00EB0E81" w:rsidRDefault="00EB0E81">
      <w:pPr>
        <w:pStyle w:val="a0"/>
        <w:rPr>
          <w:rFonts w:ascii="仿宋_GB2312" w:eastAsia="仿宋_GB2312"/>
          <w:sz w:val="32"/>
          <w:szCs w:val="32"/>
        </w:rPr>
      </w:pPr>
    </w:p>
    <w:p w:rsidR="00EB0E81" w:rsidRDefault="00EB0E81">
      <w:pPr>
        <w:pStyle w:val="a0"/>
        <w:rPr>
          <w:rFonts w:ascii="仿宋_GB2312" w:eastAsia="仿宋_GB2312"/>
          <w:sz w:val="32"/>
          <w:szCs w:val="32"/>
        </w:rPr>
      </w:pPr>
    </w:p>
    <w:p w:rsidR="00EB0E81" w:rsidRDefault="00EB0E81">
      <w:pPr>
        <w:rPr>
          <w:rFonts w:ascii="仿宋_GB2312" w:eastAsia="仿宋_GB2312"/>
          <w:sz w:val="32"/>
          <w:szCs w:val="32"/>
        </w:rPr>
      </w:pPr>
    </w:p>
    <w:p w:rsidR="00EB0E81" w:rsidRDefault="00EB0E81" w:rsidP="00C12DCE">
      <w:pPr>
        <w:tabs>
          <w:tab w:val="left" w:pos="1004"/>
        </w:tabs>
        <w:spacing w:line="360" w:lineRule="auto"/>
        <w:rPr>
          <w:rFonts w:ascii="仿宋_GB2312" w:eastAsia="仿宋_GB2312" w:hAnsi="仿宋_GB2312" w:cs="仿宋_GB2312"/>
          <w:sz w:val="32"/>
          <w:szCs w:val="32"/>
        </w:rPr>
      </w:pPr>
    </w:p>
    <w:p w:rsidR="00EB0E81" w:rsidRDefault="00B643AD">
      <w:pPr>
        <w:widowControl/>
        <w:spacing w:before="150" w:after="150" w:line="720" w:lineRule="auto"/>
        <w:jc w:val="right"/>
        <w:rPr>
          <w:rFonts w:ascii="仿宋_GB2312" w:eastAsia="仿宋_GB2312"/>
          <w:sz w:val="32"/>
          <w:szCs w:val="32"/>
        </w:rPr>
      </w:pPr>
      <w:r>
        <w:rPr>
          <w:rFonts w:ascii="仿宋_GB2312" w:eastAsia="仿宋_GB2312" w:hAnsi="仿宋_GB2312" w:cs="仿宋_GB2312" w:hint="eastAsia"/>
          <w:sz w:val="32"/>
          <w:szCs w:val="32"/>
        </w:rPr>
        <w:t xml:space="preserve"> 2021年9月10日</w:t>
      </w:r>
      <w:bookmarkStart w:id="1" w:name="_GoBack"/>
      <w:bookmarkEnd w:id="1"/>
    </w:p>
    <w:sectPr w:rsidR="00EB0E8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55" w:rsidRDefault="00A82455">
      <w:r>
        <w:separator/>
      </w:r>
    </w:p>
  </w:endnote>
  <w:endnote w:type="continuationSeparator" w:id="0">
    <w:p w:rsidR="00A82455" w:rsidRDefault="00A8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81" w:rsidRDefault="00B643A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0E81" w:rsidRDefault="00B643AD">
                          <w:pPr>
                            <w:pStyle w:val="a7"/>
                          </w:pPr>
                          <w:r>
                            <w:rPr>
                              <w:rFonts w:hint="eastAsia"/>
                            </w:rPr>
                            <w:fldChar w:fldCharType="begin"/>
                          </w:r>
                          <w:r>
                            <w:rPr>
                              <w:rFonts w:hint="eastAsia"/>
                            </w:rPr>
                            <w:instrText xml:space="preserve"> PAGE  \* MERGEFORMAT </w:instrText>
                          </w:r>
                          <w:r>
                            <w:rPr>
                              <w:rFonts w:hint="eastAsia"/>
                            </w:rPr>
                            <w:fldChar w:fldCharType="separate"/>
                          </w:r>
                          <w:r w:rsidR="00C12DCE">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0E81" w:rsidRDefault="00B643AD">
                    <w:pPr>
                      <w:pStyle w:val="a7"/>
                    </w:pPr>
                    <w:r>
                      <w:rPr>
                        <w:rFonts w:hint="eastAsia"/>
                      </w:rPr>
                      <w:fldChar w:fldCharType="begin"/>
                    </w:r>
                    <w:r>
                      <w:rPr>
                        <w:rFonts w:hint="eastAsia"/>
                      </w:rPr>
                      <w:instrText xml:space="preserve"> PAGE  \* MERGEFORMAT </w:instrText>
                    </w:r>
                    <w:r>
                      <w:rPr>
                        <w:rFonts w:hint="eastAsia"/>
                      </w:rPr>
                      <w:fldChar w:fldCharType="separate"/>
                    </w:r>
                    <w:r w:rsidR="00C12DCE">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55" w:rsidRDefault="00A82455">
      <w:r>
        <w:separator/>
      </w:r>
    </w:p>
  </w:footnote>
  <w:footnote w:type="continuationSeparator" w:id="0">
    <w:p w:rsidR="00A82455" w:rsidRDefault="00A82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AF5E7"/>
    <w:multiLevelType w:val="singleLevel"/>
    <w:tmpl w:val="ABFAF5E7"/>
    <w:lvl w:ilvl="0">
      <w:start w:val="1"/>
      <w:numFmt w:val="chineseCounting"/>
      <w:suff w:val="nothing"/>
      <w:lvlText w:val="（%1）"/>
      <w:lvlJc w:val="left"/>
      <w:rPr>
        <w:rFonts w:hint="eastAsia"/>
      </w:rPr>
    </w:lvl>
  </w:abstractNum>
  <w:abstractNum w:abstractNumId="1">
    <w:nsid w:val="F40B75A3"/>
    <w:multiLevelType w:val="singleLevel"/>
    <w:tmpl w:val="F40B75A3"/>
    <w:lvl w:ilvl="0">
      <w:start w:val="7"/>
      <w:numFmt w:val="chineseCounting"/>
      <w:suff w:val="nothing"/>
      <w:lvlText w:val="%1、"/>
      <w:lvlJc w:val="left"/>
      <w:rPr>
        <w:rFonts w:hint="eastAsia"/>
      </w:rPr>
    </w:lvl>
  </w:abstractNum>
  <w:abstractNum w:abstractNumId="2">
    <w:nsid w:val="089A0A38"/>
    <w:multiLevelType w:val="singleLevel"/>
    <w:tmpl w:val="089A0A38"/>
    <w:lvl w:ilvl="0">
      <w:start w:val="3"/>
      <w:numFmt w:val="chineseCounting"/>
      <w:suff w:val="nothing"/>
      <w:lvlText w:val="（%1）"/>
      <w:lvlJc w:val="left"/>
      <w:rPr>
        <w:rFonts w:hint="eastAsia"/>
      </w:rPr>
    </w:lvl>
  </w:abstractNum>
  <w:abstractNum w:abstractNumId="3">
    <w:nsid w:val="19A1E859"/>
    <w:multiLevelType w:val="singleLevel"/>
    <w:tmpl w:val="19A1E859"/>
    <w:lvl w:ilvl="0">
      <w:start w:val="1"/>
      <w:numFmt w:val="decimal"/>
      <w:suff w:val="nothing"/>
      <w:lvlText w:val="（%1）"/>
      <w:lvlJc w:val="left"/>
      <w:pPr>
        <w:ind w:left="-10"/>
      </w:pPr>
    </w:lvl>
  </w:abstractNum>
  <w:abstractNum w:abstractNumId="4">
    <w:nsid w:val="39C0BF73"/>
    <w:multiLevelType w:val="singleLevel"/>
    <w:tmpl w:val="39C0BF73"/>
    <w:lvl w:ilvl="0">
      <w:start w:val="1"/>
      <w:numFmt w:val="decimal"/>
      <w:suff w:val="nothing"/>
      <w:lvlText w:val="%1、"/>
      <w:lvlJc w:val="left"/>
    </w:lvl>
  </w:abstractNum>
  <w:abstractNum w:abstractNumId="5">
    <w:nsid w:val="6F0AD194"/>
    <w:multiLevelType w:val="singleLevel"/>
    <w:tmpl w:val="6F0AD194"/>
    <w:lvl w:ilvl="0">
      <w:start w:val="2"/>
      <w:numFmt w:val="chineseCounting"/>
      <w:suff w:val="nothing"/>
      <w:lvlText w:val="%1、"/>
      <w:lvlJc w:val="left"/>
      <w:rPr>
        <w:rFonts w:hint="eastAsia"/>
      </w:rPr>
    </w:lvl>
  </w:abstractNum>
  <w:abstractNum w:abstractNumId="6">
    <w:nsid w:val="7F1174C3"/>
    <w:multiLevelType w:val="singleLevel"/>
    <w:tmpl w:val="7F1174C3"/>
    <w:lvl w:ilvl="0">
      <w:start w:val="2"/>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1D"/>
    <w:rsid w:val="00007E63"/>
    <w:rsid w:val="00020473"/>
    <w:rsid w:val="00021D56"/>
    <w:rsid w:val="0005535E"/>
    <w:rsid w:val="00063CF9"/>
    <w:rsid w:val="000A230B"/>
    <w:rsid w:val="000B0C0A"/>
    <w:rsid w:val="000B6C4E"/>
    <w:rsid w:val="000C3B8F"/>
    <w:rsid w:val="000D4E82"/>
    <w:rsid w:val="000E0D2E"/>
    <w:rsid w:val="00103A87"/>
    <w:rsid w:val="00137AA3"/>
    <w:rsid w:val="00151D19"/>
    <w:rsid w:val="00164CC6"/>
    <w:rsid w:val="001851D4"/>
    <w:rsid w:val="00187226"/>
    <w:rsid w:val="00192F04"/>
    <w:rsid w:val="001C784E"/>
    <w:rsid w:val="00221B43"/>
    <w:rsid w:val="002343D2"/>
    <w:rsid w:val="00264E58"/>
    <w:rsid w:val="002B747B"/>
    <w:rsid w:val="002C3746"/>
    <w:rsid w:val="002E5FAE"/>
    <w:rsid w:val="002F6D0A"/>
    <w:rsid w:val="002F7AFB"/>
    <w:rsid w:val="00306B09"/>
    <w:rsid w:val="00331B79"/>
    <w:rsid w:val="00333DF6"/>
    <w:rsid w:val="00335F9C"/>
    <w:rsid w:val="00336DD6"/>
    <w:rsid w:val="0037028F"/>
    <w:rsid w:val="00371679"/>
    <w:rsid w:val="00381359"/>
    <w:rsid w:val="00386F0F"/>
    <w:rsid w:val="00416CC0"/>
    <w:rsid w:val="00431600"/>
    <w:rsid w:val="004F34EA"/>
    <w:rsid w:val="005002A4"/>
    <w:rsid w:val="00512E98"/>
    <w:rsid w:val="0056267A"/>
    <w:rsid w:val="005A6A66"/>
    <w:rsid w:val="005F0719"/>
    <w:rsid w:val="00600726"/>
    <w:rsid w:val="006213B2"/>
    <w:rsid w:val="006776C8"/>
    <w:rsid w:val="00684239"/>
    <w:rsid w:val="0069606E"/>
    <w:rsid w:val="006A5E2B"/>
    <w:rsid w:val="006C2CFA"/>
    <w:rsid w:val="006C6940"/>
    <w:rsid w:val="006D1861"/>
    <w:rsid w:val="006E69F0"/>
    <w:rsid w:val="006F6181"/>
    <w:rsid w:val="00711366"/>
    <w:rsid w:val="00715D56"/>
    <w:rsid w:val="007879A5"/>
    <w:rsid w:val="007954A2"/>
    <w:rsid w:val="007C0C44"/>
    <w:rsid w:val="007C6415"/>
    <w:rsid w:val="007E782D"/>
    <w:rsid w:val="00805BD7"/>
    <w:rsid w:val="0082339C"/>
    <w:rsid w:val="008311DE"/>
    <w:rsid w:val="008427AF"/>
    <w:rsid w:val="00863779"/>
    <w:rsid w:val="008B0629"/>
    <w:rsid w:val="008C0347"/>
    <w:rsid w:val="008C0DA2"/>
    <w:rsid w:val="008C67B8"/>
    <w:rsid w:val="008D1C56"/>
    <w:rsid w:val="008F6567"/>
    <w:rsid w:val="00906D66"/>
    <w:rsid w:val="00916646"/>
    <w:rsid w:val="00937630"/>
    <w:rsid w:val="00940B15"/>
    <w:rsid w:val="0094528E"/>
    <w:rsid w:val="00952676"/>
    <w:rsid w:val="00971E18"/>
    <w:rsid w:val="009865CD"/>
    <w:rsid w:val="009A5F7E"/>
    <w:rsid w:val="00A13844"/>
    <w:rsid w:val="00A20210"/>
    <w:rsid w:val="00A70DEC"/>
    <w:rsid w:val="00A82455"/>
    <w:rsid w:val="00A86EB0"/>
    <w:rsid w:val="00AB20BB"/>
    <w:rsid w:val="00B15CD2"/>
    <w:rsid w:val="00B17A90"/>
    <w:rsid w:val="00B21595"/>
    <w:rsid w:val="00B643AD"/>
    <w:rsid w:val="00B81240"/>
    <w:rsid w:val="00B84194"/>
    <w:rsid w:val="00B978AB"/>
    <w:rsid w:val="00BA777F"/>
    <w:rsid w:val="00BD44B0"/>
    <w:rsid w:val="00BE7773"/>
    <w:rsid w:val="00BE79D9"/>
    <w:rsid w:val="00BE7EDB"/>
    <w:rsid w:val="00C12DCE"/>
    <w:rsid w:val="00C43C31"/>
    <w:rsid w:val="00C46CE3"/>
    <w:rsid w:val="00C66C11"/>
    <w:rsid w:val="00C8631F"/>
    <w:rsid w:val="00CB28C6"/>
    <w:rsid w:val="00D22090"/>
    <w:rsid w:val="00D378E6"/>
    <w:rsid w:val="00D534AC"/>
    <w:rsid w:val="00D63CE2"/>
    <w:rsid w:val="00D66BE2"/>
    <w:rsid w:val="00D92E28"/>
    <w:rsid w:val="00D9367F"/>
    <w:rsid w:val="00DA7989"/>
    <w:rsid w:val="00DC3F9E"/>
    <w:rsid w:val="00E0554F"/>
    <w:rsid w:val="00E11B26"/>
    <w:rsid w:val="00E15BE1"/>
    <w:rsid w:val="00E37B6A"/>
    <w:rsid w:val="00E56D57"/>
    <w:rsid w:val="00EB0E81"/>
    <w:rsid w:val="00EB11C6"/>
    <w:rsid w:val="00EB405B"/>
    <w:rsid w:val="00EC64D4"/>
    <w:rsid w:val="00EE3EC7"/>
    <w:rsid w:val="00EF2427"/>
    <w:rsid w:val="00F01181"/>
    <w:rsid w:val="00F37BEB"/>
    <w:rsid w:val="00F43CED"/>
    <w:rsid w:val="00F4451D"/>
    <w:rsid w:val="00F6370E"/>
    <w:rsid w:val="00F75C59"/>
    <w:rsid w:val="00F8135E"/>
    <w:rsid w:val="00F901FE"/>
    <w:rsid w:val="00FB21FE"/>
    <w:rsid w:val="00FB5F5E"/>
    <w:rsid w:val="00FD5E7A"/>
    <w:rsid w:val="00FE5965"/>
    <w:rsid w:val="03714C17"/>
    <w:rsid w:val="04582632"/>
    <w:rsid w:val="04C05483"/>
    <w:rsid w:val="061A4704"/>
    <w:rsid w:val="07236932"/>
    <w:rsid w:val="076E117E"/>
    <w:rsid w:val="08E5350F"/>
    <w:rsid w:val="094149F2"/>
    <w:rsid w:val="09463B57"/>
    <w:rsid w:val="096806C4"/>
    <w:rsid w:val="0B0C317E"/>
    <w:rsid w:val="0BA873DE"/>
    <w:rsid w:val="0BBE0679"/>
    <w:rsid w:val="0C3F5F03"/>
    <w:rsid w:val="0C816D03"/>
    <w:rsid w:val="0E9C3793"/>
    <w:rsid w:val="0F6E344F"/>
    <w:rsid w:val="10E10187"/>
    <w:rsid w:val="114E7446"/>
    <w:rsid w:val="1203428E"/>
    <w:rsid w:val="120A66C6"/>
    <w:rsid w:val="126B4B74"/>
    <w:rsid w:val="127F5E72"/>
    <w:rsid w:val="136B7980"/>
    <w:rsid w:val="155269AC"/>
    <w:rsid w:val="156F359A"/>
    <w:rsid w:val="15911CED"/>
    <w:rsid w:val="16014464"/>
    <w:rsid w:val="17445899"/>
    <w:rsid w:val="18464193"/>
    <w:rsid w:val="18D6776C"/>
    <w:rsid w:val="192D4598"/>
    <w:rsid w:val="194A3EFD"/>
    <w:rsid w:val="1A280F78"/>
    <w:rsid w:val="1B2D6A70"/>
    <w:rsid w:val="1C8A3078"/>
    <w:rsid w:val="1CD1325E"/>
    <w:rsid w:val="1CE55607"/>
    <w:rsid w:val="1D6A7F81"/>
    <w:rsid w:val="1D754DB2"/>
    <w:rsid w:val="1E690484"/>
    <w:rsid w:val="1EF65083"/>
    <w:rsid w:val="20057065"/>
    <w:rsid w:val="20471FA1"/>
    <w:rsid w:val="207E1450"/>
    <w:rsid w:val="20CF0A59"/>
    <w:rsid w:val="20F3633C"/>
    <w:rsid w:val="21C82181"/>
    <w:rsid w:val="22300C70"/>
    <w:rsid w:val="22BA4663"/>
    <w:rsid w:val="22C66AE8"/>
    <w:rsid w:val="23B263AD"/>
    <w:rsid w:val="24F014B3"/>
    <w:rsid w:val="25795C1D"/>
    <w:rsid w:val="25DF5AEE"/>
    <w:rsid w:val="26021BA8"/>
    <w:rsid w:val="26A90B6B"/>
    <w:rsid w:val="275B1B3A"/>
    <w:rsid w:val="27E94E67"/>
    <w:rsid w:val="27F14524"/>
    <w:rsid w:val="2A8E3EB3"/>
    <w:rsid w:val="2B2C5FBD"/>
    <w:rsid w:val="2C7472BB"/>
    <w:rsid w:val="2CE72DB0"/>
    <w:rsid w:val="2D027D45"/>
    <w:rsid w:val="2D6973FD"/>
    <w:rsid w:val="2D875832"/>
    <w:rsid w:val="2F3E66BF"/>
    <w:rsid w:val="313101B3"/>
    <w:rsid w:val="31CC7F60"/>
    <w:rsid w:val="31CD20E8"/>
    <w:rsid w:val="32EF6A29"/>
    <w:rsid w:val="332875F5"/>
    <w:rsid w:val="339713A4"/>
    <w:rsid w:val="342519EF"/>
    <w:rsid w:val="34A56DBC"/>
    <w:rsid w:val="35763D71"/>
    <w:rsid w:val="36D80EC6"/>
    <w:rsid w:val="36DA587B"/>
    <w:rsid w:val="36FD2E4A"/>
    <w:rsid w:val="37D15A63"/>
    <w:rsid w:val="37E075A5"/>
    <w:rsid w:val="3899754E"/>
    <w:rsid w:val="38E819A6"/>
    <w:rsid w:val="398163BD"/>
    <w:rsid w:val="3A8309E1"/>
    <w:rsid w:val="3A94372A"/>
    <w:rsid w:val="3BE437C8"/>
    <w:rsid w:val="3C364928"/>
    <w:rsid w:val="3C6F7930"/>
    <w:rsid w:val="3C967D69"/>
    <w:rsid w:val="3CA41FAE"/>
    <w:rsid w:val="3CD84FDD"/>
    <w:rsid w:val="3EBE4D71"/>
    <w:rsid w:val="3ED66600"/>
    <w:rsid w:val="3F1D59BE"/>
    <w:rsid w:val="3F1F6B66"/>
    <w:rsid w:val="3FEA2718"/>
    <w:rsid w:val="415B2BAB"/>
    <w:rsid w:val="42902C6C"/>
    <w:rsid w:val="440061F8"/>
    <w:rsid w:val="4457160A"/>
    <w:rsid w:val="454400B9"/>
    <w:rsid w:val="454D4DDC"/>
    <w:rsid w:val="45DE0F49"/>
    <w:rsid w:val="46242955"/>
    <w:rsid w:val="467E0779"/>
    <w:rsid w:val="46946265"/>
    <w:rsid w:val="47BA0A9C"/>
    <w:rsid w:val="47D04E41"/>
    <w:rsid w:val="48703F2B"/>
    <w:rsid w:val="495822C0"/>
    <w:rsid w:val="498B54D6"/>
    <w:rsid w:val="4AA208FA"/>
    <w:rsid w:val="4ABF2790"/>
    <w:rsid w:val="4AC10F18"/>
    <w:rsid w:val="4AF66FBF"/>
    <w:rsid w:val="4B2A489C"/>
    <w:rsid w:val="4B564D60"/>
    <w:rsid w:val="4C4E332D"/>
    <w:rsid w:val="4C603946"/>
    <w:rsid w:val="4C9F3B77"/>
    <w:rsid w:val="4D815F07"/>
    <w:rsid w:val="4ECE1F67"/>
    <w:rsid w:val="4EEE76E7"/>
    <w:rsid w:val="4FA805B4"/>
    <w:rsid w:val="4FD8106B"/>
    <w:rsid w:val="514571A3"/>
    <w:rsid w:val="52441F5A"/>
    <w:rsid w:val="536D07AE"/>
    <w:rsid w:val="53AF7908"/>
    <w:rsid w:val="54195ADE"/>
    <w:rsid w:val="548B3C44"/>
    <w:rsid w:val="5643225B"/>
    <w:rsid w:val="564B60D4"/>
    <w:rsid w:val="56870441"/>
    <w:rsid w:val="5712541D"/>
    <w:rsid w:val="579068A3"/>
    <w:rsid w:val="5795456D"/>
    <w:rsid w:val="57A71CC1"/>
    <w:rsid w:val="585A2A11"/>
    <w:rsid w:val="59273BD1"/>
    <w:rsid w:val="5A4B7DBA"/>
    <w:rsid w:val="5A6E3F1A"/>
    <w:rsid w:val="5A7F5CA4"/>
    <w:rsid w:val="5AD11C80"/>
    <w:rsid w:val="5D0778F5"/>
    <w:rsid w:val="5EFA54D4"/>
    <w:rsid w:val="5F3560BB"/>
    <w:rsid w:val="5FFA643A"/>
    <w:rsid w:val="60237756"/>
    <w:rsid w:val="60C51C11"/>
    <w:rsid w:val="612014BE"/>
    <w:rsid w:val="62F7026A"/>
    <w:rsid w:val="63FC5B05"/>
    <w:rsid w:val="64284945"/>
    <w:rsid w:val="655821A6"/>
    <w:rsid w:val="6619295C"/>
    <w:rsid w:val="675B03D4"/>
    <w:rsid w:val="67D10F1E"/>
    <w:rsid w:val="67EC3B67"/>
    <w:rsid w:val="69106ADC"/>
    <w:rsid w:val="69DF2329"/>
    <w:rsid w:val="6AE0230C"/>
    <w:rsid w:val="6BFC34F4"/>
    <w:rsid w:val="6CDB4E90"/>
    <w:rsid w:val="6D127732"/>
    <w:rsid w:val="6D9A78C5"/>
    <w:rsid w:val="6DF82B11"/>
    <w:rsid w:val="6E154CFD"/>
    <w:rsid w:val="6F374322"/>
    <w:rsid w:val="715E00DF"/>
    <w:rsid w:val="71B53D42"/>
    <w:rsid w:val="726D0E84"/>
    <w:rsid w:val="7343541F"/>
    <w:rsid w:val="734B4E5B"/>
    <w:rsid w:val="73521E68"/>
    <w:rsid w:val="744A67C1"/>
    <w:rsid w:val="74902A9C"/>
    <w:rsid w:val="75706B91"/>
    <w:rsid w:val="766515BC"/>
    <w:rsid w:val="768625A3"/>
    <w:rsid w:val="76D2065E"/>
    <w:rsid w:val="77BA45D9"/>
    <w:rsid w:val="780D0D53"/>
    <w:rsid w:val="78AB2D58"/>
    <w:rsid w:val="79B314C9"/>
    <w:rsid w:val="79F56DAB"/>
    <w:rsid w:val="7A1968AB"/>
    <w:rsid w:val="7A597F2B"/>
    <w:rsid w:val="7B477311"/>
    <w:rsid w:val="7B94281A"/>
    <w:rsid w:val="7C321825"/>
    <w:rsid w:val="7CF21B7C"/>
    <w:rsid w:val="7E987FE9"/>
    <w:rsid w:val="7EBF29AF"/>
    <w:rsid w:val="7F1E0A11"/>
    <w:rsid w:val="7F422473"/>
    <w:rsid w:val="7F436EF5"/>
    <w:rsid w:val="7F4C6D2A"/>
    <w:rsid w:val="7FB25BDA"/>
    <w:rsid w:val="7FF1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4"/>
    <w:next w:val="a4"/>
    <w:link w:val="Char3"/>
    <w:uiPriority w:val="99"/>
    <w:semiHidden/>
    <w:unhideWhenUsed/>
    <w:qFormat/>
    <w:rPr>
      <w:b/>
      <w:bCs/>
    </w:rPr>
  </w:style>
  <w:style w:type="character" w:styleId="ab">
    <w:name w:val="Hyperlink"/>
    <w:basedOn w:val="a1"/>
    <w:uiPriority w:val="99"/>
    <w:semiHidden/>
    <w:unhideWhenUsed/>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d">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sz w:val="18"/>
      <w:szCs w:val="18"/>
    </w:rPr>
  </w:style>
  <w:style w:type="paragraph" w:styleId="a4">
    <w:name w:val="annotation text"/>
    <w:basedOn w:val="a"/>
    <w:link w:val="Char"/>
    <w:uiPriority w:val="99"/>
    <w:semiHidden/>
    <w:unhideWhenUsed/>
    <w:qFormat/>
    <w:pPr>
      <w:jc w:val="left"/>
    </w:pPr>
  </w:style>
  <w:style w:type="paragraph" w:styleId="a5">
    <w:name w:val="Body Text"/>
    <w:basedOn w:val="a"/>
    <w:qFormat/>
    <w:pPr>
      <w:spacing w:after="12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4"/>
    <w:next w:val="a4"/>
    <w:link w:val="Char3"/>
    <w:uiPriority w:val="99"/>
    <w:semiHidden/>
    <w:unhideWhenUsed/>
    <w:qFormat/>
    <w:rPr>
      <w:b/>
      <w:bCs/>
    </w:rPr>
  </w:style>
  <w:style w:type="character" w:styleId="ab">
    <w:name w:val="Hyperlink"/>
    <w:basedOn w:val="a1"/>
    <w:uiPriority w:val="99"/>
    <w:semiHidden/>
    <w:unhideWhenUsed/>
    <w:qFormat/>
    <w:rPr>
      <w:color w:val="0000FF"/>
      <w:u w:val="single"/>
    </w:rPr>
  </w:style>
  <w:style w:type="character" w:styleId="ac">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paragraph" w:styleId="ad">
    <w:name w:val="List Paragraph"/>
    <w:basedOn w:val="a"/>
    <w:uiPriority w:val="99"/>
    <w:unhideWhenUsed/>
    <w:qFormat/>
    <w:pPr>
      <w:ind w:firstLineChars="200" w:firstLine="420"/>
    </w:pPr>
  </w:style>
  <w:style w:type="character" w:customStyle="1" w:styleId="Char0">
    <w:name w:val="批注框文本 Char"/>
    <w:basedOn w:val="a1"/>
    <w:link w:val="a6"/>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font31">
    <w:name w:val="font31"/>
    <w:basedOn w:val="a1"/>
    <w:qFormat/>
    <w:rPr>
      <w:rFonts w:ascii="Calibri" w:hAnsi="Calibri" w:cs="Calibri"/>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828BF-03CE-41E5-8051-0800967E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848</Words>
  <Characters>4839</Characters>
  <Application>Microsoft Office Word</Application>
  <DocSecurity>0</DocSecurity>
  <Lines>40</Lines>
  <Paragraphs>11</Paragraphs>
  <ScaleCrop>false</ScaleCrop>
  <Company>Www.SangSan.Cn</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User</cp:lastModifiedBy>
  <cp:revision>3</cp:revision>
  <cp:lastPrinted>2021-09-10T13:19:00Z</cp:lastPrinted>
  <dcterms:created xsi:type="dcterms:W3CDTF">2021-09-13T07:08:00Z</dcterms:created>
  <dcterms:modified xsi:type="dcterms:W3CDTF">2021-09-15T02:53:00Z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2B3FC792AB7F4F09897DD5EC8131362A</vt:lpwstr>
  </property>
</Properties>
</file>