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9C3" w:rsidRDefault="003E19C3">
      <w:pPr>
        <w:widowControl/>
        <w:spacing w:line="600" w:lineRule="exact"/>
        <w:jc w:val="left"/>
        <w:rPr>
          <w:rFonts w:eastAsia="仿宋_GB2312"/>
          <w:bCs/>
          <w:kern w:val="0"/>
          <w:sz w:val="32"/>
          <w:szCs w:val="32"/>
        </w:rPr>
      </w:pPr>
    </w:p>
    <w:p w:rsidR="003E19C3" w:rsidRDefault="003E19C3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:rsidR="003E19C3" w:rsidRDefault="003E19C3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:rsidR="003E19C3" w:rsidRDefault="003E19C3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:rsidR="003E19C3" w:rsidRDefault="003E19C3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:rsidR="003E19C3" w:rsidRDefault="003E19C3"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第一部分</w:t>
      </w:r>
      <w:r>
        <w:rPr>
          <w:rFonts w:eastAsia="方正小标宋_GBK"/>
          <w:bCs/>
          <w:kern w:val="0"/>
          <w:sz w:val="36"/>
          <w:szCs w:val="36"/>
        </w:rPr>
        <w:t xml:space="preserve"> 202</w:t>
      </w:r>
      <w:r w:rsidR="00F97DFE">
        <w:rPr>
          <w:rFonts w:eastAsia="方正小标宋_GBK" w:hint="eastAsia"/>
          <w:bCs/>
          <w:kern w:val="0"/>
          <w:sz w:val="36"/>
          <w:szCs w:val="36"/>
        </w:rPr>
        <w:t>2</w:t>
      </w:r>
      <w:r>
        <w:rPr>
          <w:rFonts w:eastAsia="方正小标宋_GBK"/>
          <w:bCs/>
          <w:kern w:val="0"/>
          <w:sz w:val="36"/>
          <w:szCs w:val="36"/>
        </w:rPr>
        <w:t>年部门预算说明</w:t>
      </w:r>
    </w:p>
    <w:p w:rsidR="003E19C3" w:rsidRDefault="003E19C3"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 w:rsidR="003E19C3" w:rsidRDefault="003E19C3" w:rsidP="00F97DFE">
      <w:pPr>
        <w:widowControl/>
        <w:spacing w:line="600" w:lineRule="exact"/>
        <w:ind w:firstLineChars="196" w:firstLine="622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一、部门基本概况</w:t>
      </w:r>
    </w:p>
    <w:p w:rsidR="003E19C3" w:rsidRDefault="003E19C3">
      <w:pPr>
        <w:widowControl/>
        <w:spacing w:line="600" w:lineRule="exact"/>
        <w:ind w:firstLineChars="196" w:firstLine="624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（一）职能职责。</w:t>
      </w:r>
    </w:p>
    <w:p w:rsidR="00554E94" w:rsidRPr="00554E94" w:rsidRDefault="00F97DFE" w:rsidP="00554E94">
      <w:pPr>
        <w:widowControl/>
        <w:spacing w:line="520" w:lineRule="atLeast"/>
        <w:ind w:firstLineChars="200" w:firstLine="634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（1）</w:t>
      </w:r>
      <w:r w:rsidR="00554E94" w:rsidRPr="00554E9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贯彻执行国家、省、市有关招商引资和投资促进方面的方针政策和法律法规。提出全市招商引资、国内经济技术合作的规章制度、管理办法并组织实施。</w:t>
      </w:r>
    </w:p>
    <w:p w:rsidR="00554E94" w:rsidRDefault="00F97DFE" w:rsidP="00554E94">
      <w:pPr>
        <w:widowControl/>
        <w:shd w:val="clear" w:color="auto" w:fill="FFFFFF"/>
        <w:spacing w:before="100" w:after="100" w:line="560" w:lineRule="atLeast"/>
        <w:ind w:leftChars="67" w:left="186" w:firstLineChars="164" w:firstLine="52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（2）</w:t>
      </w:r>
      <w:r w:rsidR="00554E9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负责招商引资和投资合作项目的推介、洽谈和客商接待工作，为投资客商提供投资环境考察、投资导向、政策法规等方面的优质服务。</w:t>
      </w:r>
    </w:p>
    <w:p w:rsidR="00554E94" w:rsidRDefault="00F97DFE" w:rsidP="00554E94">
      <w:pPr>
        <w:widowControl/>
        <w:shd w:val="clear" w:color="auto" w:fill="FFFFFF"/>
        <w:spacing w:before="100" w:after="100" w:line="560" w:lineRule="atLeast"/>
        <w:ind w:leftChars="67" w:left="186" w:firstLineChars="164" w:firstLine="52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（3）</w:t>
      </w:r>
      <w:r w:rsidR="00554E9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认真开展项目落户建设过程中的跟踪服务。督促检查外商投资企业执行有关法律法规和合同、章程情况。</w:t>
      </w:r>
    </w:p>
    <w:p w:rsidR="00554E94" w:rsidRPr="00554E94" w:rsidRDefault="00447FCD" w:rsidP="00554E94">
      <w:pPr>
        <w:widowControl/>
        <w:spacing w:line="520" w:lineRule="atLeast"/>
        <w:ind w:firstLineChars="200" w:firstLine="634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（4）</w:t>
      </w:r>
      <w:r w:rsidR="00554E94" w:rsidRPr="00554E9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建立与客商的联系渠道，收集、整理、分析投资数据信息。</w:t>
      </w:r>
    </w:p>
    <w:p w:rsidR="00F97DFE" w:rsidRDefault="00447FCD" w:rsidP="00554E94">
      <w:pPr>
        <w:widowControl/>
        <w:shd w:val="clear" w:color="auto" w:fill="FFFFFF"/>
        <w:spacing w:before="100" w:after="100" w:line="560" w:lineRule="atLeast"/>
        <w:ind w:leftChars="67" w:left="186" w:firstLineChars="164" w:firstLine="52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（5）</w:t>
      </w:r>
      <w:r w:rsidR="00554E9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负责建设招商引资项目库，统一对外发布招商项目和信息。组织招商引资活动，负责组织、协调、督促、检查全市招商引资工作和全市利用内、外资的统计工作。</w:t>
      </w:r>
    </w:p>
    <w:p w:rsidR="00554E94" w:rsidRPr="00554E94" w:rsidRDefault="004137BE" w:rsidP="00554E94">
      <w:pPr>
        <w:widowControl/>
        <w:spacing w:line="520" w:lineRule="atLeast"/>
        <w:ind w:firstLine="42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（6）</w:t>
      </w:r>
      <w:r w:rsidR="00554E94" w:rsidRPr="00554E9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负责全市招商引资目标任务的考核，归口管理招商引资联络员工作。</w:t>
      </w:r>
    </w:p>
    <w:p w:rsidR="003E19C3" w:rsidRDefault="003E19C3" w:rsidP="00554E94">
      <w:pPr>
        <w:widowControl/>
        <w:spacing w:line="600" w:lineRule="exact"/>
        <w:ind w:firstLineChars="100" w:firstLine="318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lastRenderedPageBreak/>
        <w:t>（二）机构设置。</w:t>
      </w:r>
    </w:p>
    <w:p w:rsidR="00554E94" w:rsidRPr="00554E94" w:rsidRDefault="00554E94" w:rsidP="00554E94">
      <w:pPr>
        <w:widowControl/>
        <w:spacing w:line="520" w:lineRule="atLeast"/>
        <w:ind w:firstLine="42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554E9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根据编委核定，我中心内设股室4个，全部纳入202</w:t>
      </w:r>
      <w:r w:rsidR="006979A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 w:rsidRPr="00554E9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年部门预算编制范围。</w:t>
      </w:r>
      <w:r w:rsidRPr="00554E94">
        <w:rPr>
          <w:rFonts w:ascii="宋体" w:eastAsia="仿宋" w:hAnsi="宋体" w:cs="宋体" w:hint="eastAsia"/>
          <w:color w:val="000000"/>
          <w:kern w:val="0"/>
          <w:sz w:val="32"/>
          <w:szCs w:val="32"/>
        </w:rPr>
        <w:t> </w:t>
      </w:r>
    </w:p>
    <w:p w:rsidR="003E19C3" w:rsidRPr="000370BC" w:rsidRDefault="003E19C3" w:rsidP="00554E94">
      <w:pPr>
        <w:spacing w:line="560" w:lineRule="exact"/>
        <w:ind w:firstLineChars="150" w:firstLine="47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内设</w:t>
      </w:r>
      <w:r w:rsidR="00554E94">
        <w:rPr>
          <w:rFonts w:eastAsia="仿宋_GB2312" w:hint="eastAsia"/>
          <w:sz w:val="32"/>
          <w:szCs w:val="32"/>
        </w:rPr>
        <w:t>股</w:t>
      </w:r>
      <w:r>
        <w:rPr>
          <w:rFonts w:eastAsia="仿宋_GB2312" w:hint="eastAsia"/>
          <w:sz w:val="32"/>
          <w:szCs w:val="32"/>
        </w:rPr>
        <w:t>室分别是</w:t>
      </w:r>
      <w:r w:rsidR="002059BF">
        <w:rPr>
          <w:rFonts w:ascii="仿宋_GB2312" w:eastAsia="仿宋_GB2312" w:hAnsi="仿宋_GB2312" w:cs="仿宋_GB2312" w:hint="eastAsia"/>
          <w:sz w:val="32"/>
          <w:szCs w:val="32"/>
        </w:rPr>
        <w:t>办公室</w:t>
      </w:r>
      <w:r w:rsidR="000370BC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554E94">
        <w:rPr>
          <w:rFonts w:ascii="仿宋_GB2312" w:eastAsia="仿宋_GB2312" w:hAnsi="仿宋_GB2312" w:cs="仿宋_GB2312" w:hint="eastAsia"/>
          <w:sz w:val="32"/>
          <w:szCs w:val="32"/>
        </w:rPr>
        <w:t>业务股、财务股、政工股。</w:t>
      </w:r>
    </w:p>
    <w:p w:rsidR="003E19C3" w:rsidRDefault="003E19C3" w:rsidP="00554E94">
      <w:pPr>
        <w:widowControl/>
        <w:spacing w:line="600" w:lineRule="exact"/>
        <w:ind w:firstLineChars="200" w:firstLine="634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二、部门预算单位构成</w:t>
      </w:r>
    </w:p>
    <w:p w:rsidR="003E19C3" w:rsidRDefault="003E19C3" w:rsidP="00F97DFE">
      <w:pPr>
        <w:widowControl/>
        <w:spacing w:line="600" w:lineRule="exact"/>
        <w:ind w:firstLineChars="196" w:firstLine="622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</w:t>
      </w:r>
      <w:r w:rsidR="00554E94">
        <w:rPr>
          <w:rFonts w:eastAsia="仿宋_GB2312" w:hint="eastAsia"/>
          <w:sz w:val="32"/>
          <w:szCs w:val="32"/>
        </w:rPr>
        <w:t>中心为商务局所属财政全额拨款的独立二级机构。</w:t>
      </w:r>
    </w:p>
    <w:p w:rsidR="003E19C3" w:rsidRDefault="003E19C3" w:rsidP="00F97DFE">
      <w:pPr>
        <w:widowControl/>
        <w:spacing w:line="600" w:lineRule="exact"/>
        <w:ind w:firstLineChars="196" w:firstLine="622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三、部门收支总体情况</w:t>
      </w:r>
    </w:p>
    <w:p w:rsidR="003E19C3" w:rsidRDefault="003E19C3" w:rsidP="00F97DFE">
      <w:pPr>
        <w:widowControl/>
        <w:spacing w:line="600" w:lineRule="exact"/>
        <w:ind w:firstLineChars="196" w:firstLine="622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</w:t>
      </w:r>
      <w:r w:rsidR="0070349E"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年部门预算</w:t>
      </w:r>
      <w:r>
        <w:rPr>
          <w:rFonts w:eastAsia="仿宋_GB2312" w:hint="eastAsia"/>
          <w:sz w:val="32"/>
          <w:szCs w:val="32"/>
        </w:rPr>
        <w:t>即我</w:t>
      </w:r>
      <w:r w:rsidR="006979AA">
        <w:rPr>
          <w:rFonts w:eastAsia="仿宋_GB2312" w:hint="eastAsia"/>
          <w:sz w:val="32"/>
          <w:szCs w:val="32"/>
        </w:rPr>
        <w:t>中心</w:t>
      </w:r>
      <w:r>
        <w:rPr>
          <w:rFonts w:eastAsia="仿宋_GB2312"/>
          <w:sz w:val="32"/>
          <w:szCs w:val="32"/>
        </w:rPr>
        <w:t>本级预算。</w:t>
      </w:r>
      <w:r>
        <w:rPr>
          <w:rFonts w:eastAsia="仿宋_GB2312" w:hint="eastAsia"/>
          <w:sz w:val="32"/>
          <w:szCs w:val="32"/>
        </w:rPr>
        <w:t>我</w:t>
      </w:r>
      <w:r w:rsidR="006979AA">
        <w:rPr>
          <w:rFonts w:eastAsia="仿宋_GB2312" w:hint="eastAsia"/>
          <w:sz w:val="32"/>
          <w:szCs w:val="32"/>
        </w:rPr>
        <w:t>中心</w:t>
      </w:r>
      <w:r>
        <w:rPr>
          <w:rFonts w:eastAsia="仿宋_GB2312" w:hint="eastAsia"/>
          <w:sz w:val="32"/>
          <w:szCs w:val="32"/>
        </w:rPr>
        <w:t>202</w:t>
      </w:r>
      <w:r w:rsidR="0070349E"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年没有政府性基金预算拨款，所以公开的附件</w:t>
      </w:r>
      <w:r w:rsidR="00BC10DD"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表为空。</w:t>
      </w:r>
      <w:r>
        <w:rPr>
          <w:rFonts w:eastAsia="仿宋_GB2312"/>
          <w:sz w:val="32"/>
          <w:szCs w:val="32"/>
        </w:rPr>
        <w:t>收入</w:t>
      </w:r>
      <w:r w:rsidR="00BC10DD">
        <w:rPr>
          <w:rFonts w:eastAsia="仿宋_GB2312" w:hint="eastAsia"/>
          <w:sz w:val="32"/>
          <w:szCs w:val="32"/>
        </w:rPr>
        <w:t>为财政拨款收入</w:t>
      </w:r>
      <w:r>
        <w:rPr>
          <w:rFonts w:eastAsia="仿宋_GB2312" w:hint="eastAsia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支出包括</w:t>
      </w:r>
      <w:r w:rsidR="006979AA">
        <w:rPr>
          <w:rFonts w:eastAsia="仿宋_GB2312" w:hint="eastAsia"/>
          <w:sz w:val="32"/>
          <w:szCs w:val="32"/>
        </w:rPr>
        <w:t>中心</w:t>
      </w:r>
      <w:r>
        <w:rPr>
          <w:rFonts w:eastAsia="仿宋_GB2312"/>
          <w:sz w:val="32"/>
          <w:szCs w:val="32"/>
        </w:rPr>
        <w:t>基本运行的经费，也包括</w:t>
      </w:r>
      <w:r w:rsidR="006979AA">
        <w:rPr>
          <w:rFonts w:eastAsia="仿宋_GB2312" w:hint="eastAsia"/>
          <w:sz w:val="32"/>
          <w:szCs w:val="32"/>
        </w:rPr>
        <w:t>招商引资专项的</w:t>
      </w:r>
      <w:r>
        <w:rPr>
          <w:rFonts w:eastAsia="仿宋_GB2312" w:hint="eastAsia"/>
          <w:sz w:val="32"/>
          <w:szCs w:val="32"/>
        </w:rPr>
        <w:t>业务工作经费。</w:t>
      </w:r>
    </w:p>
    <w:p w:rsidR="003E19C3" w:rsidRDefault="003E19C3" w:rsidP="006979AA">
      <w:pPr>
        <w:widowControl/>
        <w:spacing w:line="600" w:lineRule="exact"/>
        <w:ind w:firstLineChars="200" w:firstLine="637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 w:rsidR="00F60DA9" w:rsidRPr="00F60DA9">
        <w:rPr>
          <w:rFonts w:eastAsia="仿宋_GB2312" w:hint="eastAsia"/>
          <w:sz w:val="32"/>
          <w:szCs w:val="32"/>
        </w:rPr>
        <w:t>由</w:t>
      </w:r>
      <w:r>
        <w:rPr>
          <w:rFonts w:eastAsia="仿宋_GB2312"/>
          <w:sz w:val="32"/>
          <w:szCs w:val="32"/>
        </w:rPr>
        <w:t>一般公共预算财政拨款收入</w:t>
      </w:r>
      <w:r w:rsidR="00F60DA9">
        <w:rPr>
          <w:rFonts w:eastAsia="仿宋_GB2312" w:hint="eastAsia"/>
          <w:sz w:val="32"/>
          <w:szCs w:val="32"/>
        </w:rPr>
        <w:t>组成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202</w:t>
      </w:r>
      <w:r w:rsidR="00F60DA9"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年本部门收入预算</w:t>
      </w:r>
      <w:r w:rsidR="008007E3">
        <w:rPr>
          <w:rFonts w:eastAsia="仿宋_GB2312" w:hint="eastAsia"/>
          <w:sz w:val="32"/>
          <w:szCs w:val="32"/>
        </w:rPr>
        <w:t>188.68</w:t>
      </w:r>
      <w:r>
        <w:rPr>
          <w:rFonts w:eastAsia="仿宋_GB2312"/>
          <w:sz w:val="32"/>
          <w:szCs w:val="32"/>
        </w:rPr>
        <w:t>万元，其中，一般公共预算拨款</w:t>
      </w:r>
      <w:r w:rsidR="008007E3">
        <w:rPr>
          <w:rFonts w:eastAsia="仿宋_GB2312" w:hint="eastAsia"/>
          <w:sz w:val="32"/>
          <w:szCs w:val="32"/>
        </w:rPr>
        <w:t>188.68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，上年结余结转资金</w:t>
      </w:r>
      <w:r w:rsidR="00F60DA9"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b/>
          <w:sz w:val="32"/>
          <w:szCs w:val="32"/>
        </w:rPr>
        <w:t>收入较去年</w:t>
      </w:r>
      <w:r w:rsidR="008007E3">
        <w:rPr>
          <w:rFonts w:eastAsia="仿宋_GB2312" w:hint="eastAsia"/>
          <w:b/>
          <w:sz w:val="32"/>
          <w:szCs w:val="32"/>
        </w:rPr>
        <w:t>增加</w:t>
      </w:r>
      <w:r w:rsidR="008007E3">
        <w:rPr>
          <w:rFonts w:eastAsia="仿宋_GB2312" w:hint="eastAsia"/>
          <w:b/>
          <w:sz w:val="32"/>
          <w:szCs w:val="32"/>
        </w:rPr>
        <w:t>17.506</w:t>
      </w:r>
      <w:r>
        <w:rPr>
          <w:rFonts w:eastAsia="仿宋_GB2312"/>
          <w:b/>
          <w:sz w:val="32"/>
          <w:szCs w:val="32"/>
        </w:rPr>
        <w:t>万元，主要是</w:t>
      </w:r>
      <w:r>
        <w:rPr>
          <w:rFonts w:eastAsia="仿宋_GB2312" w:hint="eastAsia"/>
          <w:b/>
          <w:sz w:val="32"/>
          <w:szCs w:val="32"/>
        </w:rPr>
        <w:t>由于</w:t>
      </w:r>
      <w:r w:rsidR="008007E3">
        <w:rPr>
          <w:rFonts w:eastAsia="仿宋_GB2312" w:hint="eastAsia"/>
          <w:b/>
          <w:sz w:val="32"/>
          <w:szCs w:val="32"/>
        </w:rPr>
        <w:t>行政运行类收入增加</w:t>
      </w:r>
      <w:r w:rsidR="00F33D09">
        <w:rPr>
          <w:rFonts w:eastAsia="仿宋_GB2312" w:hint="eastAsia"/>
          <w:b/>
          <w:sz w:val="32"/>
          <w:szCs w:val="32"/>
        </w:rPr>
        <w:t>。</w:t>
      </w:r>
    </w:p>
    <w:p w:rsidR="003E19C3" w:rsidRDefault="003E19C3">
      <w:pPr>
        <w:widowControl/>
        <w:spacing w:line="600" w:lineRule="exact"/>
        <w:ind w:firstLineChars="196" w:firstLine="624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eastAsia="仿宋_GB2312"/>
          <w:sz w:val="32"/>
          <w:szCs w:val="32"/>
        </w:rPr>
        <w:t>202</w:t>
      </w:r>
      <w:r w:rsidR="00F33D09"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年本部门支出预算</w:t>
      </w:r>
      <w:r w:rsidR="008007E3">
        <w:rPr>
          <w:rFonts w:eastAsia="仿宋_GB2312" w:hint="eastAsia"/>
          <w:sz w:val="32"/>
          <w:szCs w:val="32"/>
        </w:rPr>
        <w:t>188.68</w:t>
      </w:r>
      <w:r>
        <w:rPr>
          <w:rFonts w:eastAsia="仿宋_GB2312"/>
          <w:sz w:val="32"/>
          <w:szCs w:val="32"/>
        </w:rPr>
        <w:t>万元，其中，</w:t>
      </w:r>
      <w:r w:rsidR="00F33D09">
        <w:rPr>
          <w:rFonts w:eastAsia="仿宋_GB2312" w:hint="eastAsia"/>
          <w:sz w:val="32"/>
          <w:szCs w:val="32"/>
        </w:rPr>
        <w:t>住房保障支出</w:t>
      </w:r>
      <w:r w:rsidR="008007E3">
        <w:rPr>
          <w:rFonts w:eastAsia="仿宋_GB2312" w:hint="eastAsia"/>
          <w:sz w:val="32"/>
          <w:szCs w:val="32"/>
        </w:rPr>
        <w:t>10.86</w:t>
      </w:r>
      <w:r>
        <w:rPr>
          <w:rFonts w:eastAsia="仿宋_GB2312"/>
          <w:sz w:val="32"/>
          <w:szCs w:val="32"/>
        </w:rPr>
        <w:t>万元，</w:t>
      </w:r>
      <w:r w:rsidR="008007E3">
        <w:rPr>
          <w:rFonts w:eastAsia="仿宋_GB2312" w:hint="eastAsia"/>
          <w:sz w:val="32"/>
          <w:szCs w:val="32"/>
        </w:rPr>
        <w:t>行政运行支出</w:t>
      </w:r>
      <w:r w:rsidR="008007E3">
        <w:rPr>
          <w:rFonts w:eastAsia="仿宋_GB2312" w:hint="eastAsia"/>
          <w:sz w:val="32"/>
          <w:szCs w:val="32"/>
        </w:rPr>
        <w:t>129.82</w:t>
      </w:r>
      <w:r w:rsidR="008007E3">
        <w:rPr>
          <w:rFonts w:eastAsia="仿宋_GB2312" w:hint="eastAsia"/>
          <w:sz w:val="32"/>
          <w:szCs w:val="32"/>
        </w:rPr>
        <w:t>万元，招商引资项目支出</w:t>
      </w:r>
      <w:r w:rsidR="008007E3">
        <w:rPr>
          <w:rFonts w:eastAsia="仿宋_GB2312" w:hint="eastAsia"/>
          <w:sz w:val="32"/>
          <w:szCs w:val="32"/>
        </w:rPr>
        <w:t>48</w:t>
      </w:r>
      <w:r w:rsidR="008007E3">
        <w:rPr>
          <w:rFonts w:eastAsia="仿宋_GB2312" w:hint="eastAsia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支出较去年</w:t>
      </w:r>
      <w:r w:rsidR="008007E3">
        <w:rPr>
          <w:rFonts w:eastAsia="仿宋_GB2312" w:hint="eastAsia"/>
          <w:sz w:val="32"/>
          <w:szCs w:val="32"/>
        </w:rPr>
        <w:t>增加</w:t>
      </w:r>
      <w:r w:rsidR="008007E3">
        <w:rPr>
          <w:rFonts w:eastAsia="仿宋_GB2312" w:hint="eastAsia"/>
          <w:sz w:val="32"/>
          <w:szCs w:val="32"/>
        </w:rPr>
        <w:t>17.506</w:t>
      </w:r>
      <w:r>
        <w:rPr>
          <w:rFonts w:eastAsia="仿宋_GB2312" w:hint="eastAsia"/>
          <w:sz w:val="32"/>
          <w:szCs w:val="32"/>
        </w:rPr>
        <w:t>万元，其中基本支出</w:t>
      </w:r>
      <w:r w:rsidR="00F33D09">
        <w:rPr>
          <w:rFonts w:eastAsia="仿宋_GB2312" w:hint="eastAsia"/>
          <w:sz w:val="32"/>
          <w:szCs w:val="32"/>
        </w:rPr>
        <w:t>增加</w:t>
      </w:r>
      <w:r w:rsidR="008007E3">
        <w:rPr>
          <w:rFonts w:eastAsia="仿宋_GB2312" w:hint="eastAsia"/>
          <w:sz w:val="32"/>
          <w:szCs w:val="32"/>
        </w:rPr>
        <w:t>17.506</w:t>
      </w:r>
      <w:r>
        <w:rPr>
          <w:rFonts w:eastAsia="仿宋_GB2312" w:hint="eastAsia"/>
          <w:sz w:val="32"/>
          <w:szCs w:val="32"/>
        </w:rPr>
        <w:t>万元，项目支出</w:t>
      </w:r>
      <w:r w:rsidR="008007E3">
        <w:rPr>
          <w:rFonts w:eastAsia="仿宋_GB2312" w:hint="eastAsia"/>
          <w:sz w:val="32"/>
          <w:szCs w:val="32"/>
        </w:rPr>
        <w:t>与去年相同</w:t>
      </w:r>
      <w:r>
        <w:rPr>
          <w:rFonts w:eastAsia="仿宋_GB2312" w:hint="eastAsia"/>
          <w:sz w:val="32"/>
          <w:szCs w:val="32"/>
        </w:rPr>
        <w:t>。</w:t>
      </w:r>
    </w:p>
    <w:p w:rsidR="003E19C3" w:rsidRDefault="003E19C3" w:rsidP="00F97DFE">
      <w:pPr>
        <w:widowControl/>
        <w:spacing w:line="600" w:lineRule="exact"/>
        <w:ind w:firstLineChars="196" w:firstLine="622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其中基本支出较上年</w:t>
      </w:r>
      <w:r w:rsidR="00F33D09">
        <w:rPr>
          <w:rFonts w:eastAsia="仿宋_GB2312" w:hint="eastAsia"/>
          <w:sz w:val="32"/>
          <w:szCs w:val="32"/>
        </w:rPr>
        <w:t>增加</w:t>
      </w:r>
      <w:r>
        <w:rPr>
          <w:rFonts w:eastAsia="仿宋_GB2312" w:hint="eastAsia"/>
          <w:sz w:val="32"/>
          <w:szCs w:val="32"/>
        </w:rPr>
        <w:t>主要是由于我</w:t>
      </w:r>
      <w:r w:rsidR="008007E3">
        <w:rPr>
          <w:rFonts w:eastAsia="仿宋_GB2312" w:hint="eastAsia"/>
          <w:sz w:val="32"/>
          <w:szCs w:val="32"/>
        </w:rPr>
        <w:t>中心</w:t>
      </w:r>
      <w:r>
        <w:rPr>
          <w:rFonts w:eastAsia="仿宋_GB2312" w:hint="eastAsia"/>
          <w:sz w:val="32"/>
          <w:szCs w:val="32"/>
        </w:rPr>
        <w:t>实有人数较上年有所</w:t>
      </w:r>
      <w:r w:rsidR="00F33D09">
        <w:rPr>
          <w:rFonts w:eastAsia="仿宋_GB2312" w:hint="eastAsia"/>
          <w:sz w:val="32"/>
          <w:szCs w:val="32"/>
        </w:rPr>
        <w:t>增加</w:t>
      </w:r>
      <w:r>
        <w:rPr>
          <w:rFonts w:eastAsia="仿宋_GB2312" w:hint="eastAsia"/>
          <w:sz w:val="32"/>
          <w:szCs w:val="32"/>
        </w:rPr>
        <w:t>。</w:t>
      </w:r>
    </w:p>
    <w:p w:rsidR="003E19C3" w:rsidRDefault="003E19C3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四、一般公共预算拨款支出</w:t>
      </w:r>
    </w:p>
    <w:p w:rsidR="003E19C3" w:rsidRDefault="003E19C3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 w:rsidR="00927592"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年本部门一般公共预算拨款支出预算</w:t>
      </w:r>
      <w:r w:rsidR="008007E3">
        <w:rPr>
          <w:rFonts w:eastAsia="仿宋_GB2312" w:hint="eastAsia"/>
          <w:sz w:val="32"/>
          <w:szCs w:val="32"/>
        </w:rPr>
        <w:t>188.68</w:t>
      </w:r>
      <w:r>
        <w:rPr>
          <w:rFonts w:eastAsia="仿宋_GB2312"/>
          <w:sz w:val="32"/>
          <w:szCs w:val="32"/>
        </w:rPr>
        <w:t>万元，其中，</w:t>
      </w:r>
      <w:r w:rsidR="006243BC">
        <w:rPr>
          <w:rFonts w:eastAsia="仿宋_GB2312" w:hint="eastAsia"/>
          <w:sz w:val="32"/>
          <w:szCs w:val="32"/>
        </w:rPr>
        <w:t>住房保障支出</w:t>
      </w:r>
      <w:r w:rsidR="008007E3">
        <w:rPr>
          <w:rFonts w:eastAsia="仿宋_GB2312" w:hint="eastAsia"/>
          <w:sz w:val="32"/>
          <w:szCs w:val="32"/>
        </w:rPr>
        <w:t>10.86</w:t>
      </w:r>
      <w:r w:rsidR="006243BC">
        <w:rPr>
          <w:rFonts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，占</w:t>
      </w:r>
      <w:r w:rsidR="008007E3">
        <w:rPr>
          <w:rFonts w:eastAsia="仿宋_GB2312" w:hint="eastAsia"/>
          <w:sz w:val="32"/>
          <w:szCs w:val="32"/>
        </w:rPr>
        <w:t>5.76</w:t>
      </w:r>
      <w:r>
        <w:rPr>
          <w:rFonts w:eastAsia="仿宋_GB2312" w:hint="eastAsia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；</w:t>
      </w:r>
      <w:r w:rsidR="008007E3">
        <w:rPr>
          <w:rFonts w:eastAsia="仿宋_GB2312" w:hint="eastAsia"/>
          <w:sz w:val="32"/>
          <w:szCs w:val="32"/>
        </w:rPr>
        <w:t>行政运行</w:t>
      </w:r>
      <w:r w:rsidR="006243BC">
        <w:rPr>
          <w:rFonts w:eastAsia="仿宋_GB2312" w:hint="eastAsia"/>
          <w:sz w:val="32"/>
          <w:szCs w:val="32"/>
        </w:rPr>
        <w:t>支出</w:t>
      </w:r>
      <w:r w:rsidR="008007E3">
        <w:rPr>
          <w:rFonts w:eastAsia="仿宋_GB2312" w:hint="eastAsia"/>
          <w:sz w:val="32"/>
          <w:szCs w:val="32"/>
        </w:rPr>
        <w:lastRenderedPageBreak/>
        <w:t>129.82</w:t>
      </w:r>
      <w:r w:rsidR="006243BC">
        <w:rPr>
          <w:rFonts w:eastAsia="仿宋_GB2312" w:hint="eastAsia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占</w:t>
      </w:r>
      <w:r w:rsidR="008007E3" w:rsidRPr="008007E3">
        <w:rPr>
          <w:rFonts w:eastAsia="仿宋_GB2312" w:hint="eastAsia"/>
          <w:b/>
          <w:sz w:val="32"/>
          <w:szCs w:val="32"/>
        </w:rPr>
        <w:t>68.8</w:t>
      </w:r>
      <w:r w:rsidRPr="008007E3">
        <w:rPr>
          <w:rFonts w:eastAsia="仿宋_GB2312" w:hint="eastAsia"/>
          <w:b/>
          <w:sz w:val="32"/>
          <w:szCs w:val="32"/>
        </w:rPr>
        <w:t>%</w:t>
      </w:r>
      <w:r w:rsidR="008007E3">
        <w:rPr>
          <w:rFonts w:eastAsia="仿宋_GB2312" w:hint="eastAsia"/>
          <w:sz w:val="32"/>
          <w:szCs w:val="32"/>
        </w:rPr>
        <w:t>；招商引资项目支出</w:t>
      </w:r>
      <w:r w:rsidR="008007E3" w:rsidRPr="008007E3">
        <w:rPr>
          <w:rFonts w:eastAsia="仿宋_GB2312" w:hint="eastAsia"/>
          <w:b/>
          <w:sz w:val="32"/>
          <w:szCs w:val="32"/>
        </w:rPr>
        <w:t>48</w:t>
      </w:r>
      <w:r w:rsidR="008007E3">
        <w:rPr>
          <w:rFonts w:eastAsia="仿宋_GB2312" w:hint="eastAsia"/>
          <w:sz w:val="32"/>
          <w:szCs w:val="32"/>
        </w:rPr>
        <w:t>万元，占</w:t>
      </w:r>
      <w:r w:rsidR="008007E3" w:rsidRPr="008007E3">
        <w:rPr>
          <w:rFonts w:eastAsia="仿宋_GB2312" w:hint="eastAsia"/>
          <w:b/>
          <w:sz w:val="32"/>
          <w:szCs w:val="32"/>
        </w:rPr>
        <w:t>25.44%</w:t>
      </w:r>
      <w:r>
        <w:rPr>
          <w:rFonts w:eastAsia="仿宋_GB2312"/>
          <w:sz w:val="32"/>
          <w:szCs w:val="32"/>
        </w:rPr>
        <w:t>。具体安排情况如下：</w:t>
      </w:r>
    </w:p>
    <w:p w:rsidR="003E19C3" w:rsidRDefault="003E19C3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（一）基本支出：</w:t>
      </w:r>
      <w:r>
        <w:rPr>
          <w:rFonts w:eastAsia="仿宋_GB2312"/>
          <w:sz w:val="32"/>
          <w:szCs w:val="32"/>
        </w:rPr>
        <w:t>202</w:t>
      </w:r>
      <w:r w:rsidR="006243BC"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年本部门基本支出预算数</w:t>
      </w:r>
      <w:r w:rsidR="008007E3">
        <w:rPr>
          <w:rFonts w:eastAsia="仿宋_GB2312" w:hint="eastAsia"/>
          <w:sz w:val="32"/>
          <w:szCs w:val="32"/>
        </w:rPr>
        <w:t>140.68</w:t>
      </w:r>
      <w:r>
        <w:rPr>
          <w:rFonts w:eastAsia="仿宋_GB2312"/>
          <w:sz w:val="32"/>
          <w:szCs w:val="32"/>
        </w:rPr>
        <w:t>万元，主要是为保障部门正常运转、完成日常工作任务而发生的各项支出，包括用于基本工资、津贴补贴等人员经费以及办公费、印刷费、水电费、</w:t>
      </w:r>
      <w:r w:rsidR="00F32867">
        <w:rPr>
          <w:rFonts w:eastAsia="仿宋_GB2312" w:hint="eastAsia"/>
          <w:sz w:val="32"/>
          <w:szCs w:val="32"/>
        </w:rPr>
        <w:t>差旅费</w:t>
      </w:r>
      <w:r>
        <w:rPr>
          <w:rFonts w:eastAsia="仿宋_GB2312"/>
          <w:sz w:val="32"/>
          <w:szCs w:val="32"/>
        </w:rPr>
        <w:t>等公用经费。</w:t>
      </w:r>
    </w:p>
    <w:p w:rsidR="008862A6" w:rsidRPr="00F229E2" w:rsidRDefault="003E19C3" w:rsidP="00E50D4A">
      <w:pPr>
        <w:ind w:firstLineChars="200" w:firstLine="637"/>
      </w:pPr>
      <w:r>
        <w:rPr>
          <w:rFonts w:eastAsia="楷体_GB2312"/>
          <w:b/>
          <w:sz w:val="32"/>
          <w:szCs w:val="32"/>
        </w:rPr>
        <w:t>（二）项目支出：</w:t>
      </w:r>
      <w:r>
        <w:rPr>
          <w:rFonts w:eastAsia="仿宋_GB2312"/>
          <w:sz w:val="32"/>
          <w:szCs w:val="32"/>
        </w:rPr>
        <w:t>202</w:t>
      </w:r>
      <w:r w:rsidR="00F32867"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年本部门项目支出预算</w:t>
      </w:r>
      <w:r w:rsidR="008007E3">
        <w:rPr>
          <w:rFonts w:eastAsia="仿宋_GB2312" w:hint="eastAsia"/>
          <w:sz w:val="32"/>
          <w:szCs w:val="32"/>
        </w:rPr>
        <w:t>48</w:t>
      </w:r>
      <w:r>
        <w:rPr>
          <w:rFonts w:eastAsia="仿宋_GB2312"/>
          <w:sz w:val="32"/>
          <w:szCs w:val="32"/>
        </w:rPr>
        <w:t>万元，主要是</w:t>
      </w:r>
      <w:r w:rsidR="002C26C7">
        <w:rPr>
          <w:rFonts w:eastAsia="仿宋_GB2312" w:hint="eastAsia"/>
          <w:sz w:val="32"/>
          <w:szCs w:val="32"/>
        </w:rPr>
        <w:t>招商引资项目支出</w:t>
      </w:r>
      <w:r w:rsidR="002C26C7">
        <w:rPr>
          <w:rFonts w:eastAsia="仿宋_GB2312" w:hint="eastAsia"/>
          <w:sz w:val="32"/>
          <w:szCs w:val="32"/>
        </w:rPr>
        <w:t>48</w:t>
      </w:r>
      <w:r w:rsidR="002C26C7">
        <w:rPr>
          <w:rFonts w:eastAsia="仿宋_GB2312" w:hint="eastAsia"/>
          <w:sz w:val="32"/>
          <w:szCs w:val="32"/>
        </w:rPr>
        <w:t>万元，主要是用于开展招商引资活动、招商引资日常接待等方面。</w:t>
      </w:r>
    </w:p>
    <w:p w:rsidR="003E19C3" w:rsidRPr="002C26C7" w:rsidRDefault="003E19C3" w:rsidP="002C26C7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黑体" w:hint="eastAsia"/>
          <w:sz w:val="32"/>
          <w:szCs w:val="32"/>
        </w:rPr>
        <w:t>五</w:t>
      </w:r>
      <w:r>
        <w:rPr>
          <w:rFonts w:eastAsia="黑体"/>
          <w:sz w:val="32"/>
          <w:szCs w:val="32"/>
        </w:rPr>
        <w:t>、其他重要事项的情况说明</w:t>
      </w:r>
    </w:p>
    <w:p w:rsidR="003E19C3" w:rsidRDefault="003E19C3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（一）机关运行经费：</w:t>
      </w:r>
      <w:r>
        <w:rPr>
          <w:rFonts w:eastAsia="仿宋_GB2312"/>
          <w:sz w:val="32"/>
          <w:szCs w:val="32"/>
        </w:rPr>
        <w:t>202</w:t>
      </w:r>
      <w:r w:rsidR="00A71627"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年本部门机关本级的机关运行经费</w:t>
      </w:r>
      <w:r w:rsidR="002679C0">
        <w:rPr>
          <w:rFonts w:eastAsia="仿宋_GB2312" w:hint="eastAsia"/>
          <w:sz w:val="32"/>
          <w:szCs w:val="32"/>
        </w:rPr>
        <w:t>17</w:t>
      </w:r>
      <w:r>
        <w:rPr>
          <w:rFonts w:eastAsia="仿宋_GB2312"/>
          <w:sz w:val="32"/>
          <w:szCs w:val="32"/>
        </w:rPr>
        <w:t>万元，比上年预算</w:t>
      </w:r>
      <w:r w:rsidR="00A71627">
        <w:rPr>
          <w:rFonts w:eastAsia="仿宋_GB2312" w:hint="eastAsia"/>
          <w:sz w:val="32"/>
          <w:szCs w:val="32"/>
        </w:rPr>
        <w:t>增加</w:t>
      </w:r>
      <w:r w:rsidR="002679C0"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元，</w:t>
      </w:r>
      <w:r w:rsidR="002679C0">
        <w:rPr>
          <w:rFonts w:eastAsia="仿宋_GB2312" w:hint="eastAsia"/>
          <w:sz w:val="32"/>
          <w:szCs w:val="32"/>
        </w:rPr>
        <w:t>增加</w:t>
      </w:r>
      <w:r w:rsidR="002679C0">
        <w:rPr>
          <w:rFonts w:eastAsia="仿宋_GB2312" w:hint="eastAsia"/>
          <w:sz w:val="32"/>
          <w:szCs w:val="32"/>
        </w:rPr>
        <w:t>13.33%</w:t>
      </w:r>
      <w:r w:rsidR="002679C0">
        <w:rPr>
          <w:rFonts w:eastAsia="仿宋_GB2312" w:hint="eastAsia"/>
          <w:sz w:val="32"/>
          <w:szCs w:val="32"/>
        </w:rPr>
        <w:t>。主要是我单位人员增加。</w:t>
      </w:r>
    </w:p>
    <w:p w:rsidR="003E19C3" w:rsidRDefault="003E19C3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</w:t>
      </w:r>
      <w:r>
        <w:rPr>
          <w:rFonts w:eastAsia="楷体_GB2312"/>
          <w:b/>
          <w:sz w:val="32"/>
          <w:szCs w:val="32"/>
        </w:rPr>
        <w:t>“</w:t>
      </w:r>
      <w:r>
        <w:rPr>
          <w:rFonts w:eastAsia="楷体_GB2312"/>
          <w:b/>
          <w:sz w:val="32"/>
          <w:szCs w:val="32"/>
        </w:rPr>
        <w:t>三公</w:t>
      </w:r>
      <w:r>
        <w:rPr>
          <w:rFonts w:eastAsia="楷体_GB2312"/>
          <w:b/>
          <w:sz w:val="32"/>
          <w:szCs w:val="32"/>
        </w:rPr>
        <w:t>”</w:t>
      </w:r>
      <w:r>
        <w:rPr>
          <w:rFonts w:eastAsia="楷体_GB2312"/>
          <w:b/>
          <w:sz w:val="32"/>
          <w:szCs w:val="32"/>
        </w:rPr>
        <w:t>经费预算：</w:t>
      </w:r>
      <w:r>
        <w:rPr>
          <w:rFonts w:eastAsia="仿宋_GB2312"/>
          <w:sz w:val="32"/>
          <w:szCs w:val="32"/>
        </w:rPr>
        <w:t>202</w:t>
      </w:r>
      <w:r w:rsidR="00A72163"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年本部门机关本级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经费预算数为</w:t>
      </w:r>
      <w:r w:rsidR="00A72163">
        <w:rPr>
          <w:rFonts w:eastAsia="仿宋_GB2312" w:hint="eastAsia"/>
          <w:sz w:val="32"/>
          <w:szCs w:val="32"/>
        </w:rPr>
        <w:t>3</w:t>
      </w:r>
      <w:r w:rsidR="002C26C7"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万元，其中，公务接待费</w:t>
      </w:r>
      <w:r w:rsidR="002C26C7">
        <w:rPr>
          <w:rFonts w:eastAsia="仿宋_GB2312" w:hint="eastAsia"/>
          <w:sz w:val="32"/>
          <w:szCs w:val="32"/>
        </w:rPr>
        <w:t>32</w:t>
      </w:r>
      <w:r>
        <w:rPr>
          <w:rFonts w:eastAsia="仿宋_GB2312"/>
          <w:sz w:val="32"/>
          <w:szCs w:val="32"/>
        </w:rPr>
        <w:t>万元，公务用车购置及运行费</w:t>
      </w:r>
      <w:r w:rsidR="002C26C7"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万元，因公出国（境）费</w:t>
      </w:r>
      <w:r w:rsidR="00A72163"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万元。</w:t>
      </w:r>
      <w:r>
        <w:rPr>
          <w:rFonts w:eastAsia="仿宋_GB2312"/>
          <w:sz w:val="32"/>
          <w:szCs w:val="32"/>
        </w:rPr>
        <w:t>202</w:t>
      </w:r>
      <w:r w:rsidR="00A72163"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经费预算较</w:t>
      </w:r>
      <w:r>
        <w:rPr>
          <w:rFonts w:eastAsia="仿宋_GB2312"/>
          <w:sz w:val="32"/>
          <w:szCs w:val="32"/>
        </w:rPr>
        <w:t>202</w:t>
      </w:r>
      <w:r w:rsidR="00A72163"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年</w:t>
      </w:r>
      <w:r w:rsidR="002C26C7">
        <w:rPr>
          <w:rFonts w:eastAsia="仿宋_GB2312" w:hint="eastAsia"/>
          <w:sz w:val="32"/>
          <w:szCs w:val="32"/>
        </w:rPr>
        <w:t>增加，原因是将招商引资项目支出的公务接待费预算纳入其中。</w:t>
      </w:r>
    </w:p>
    <w:p w:rsidR="00A71627" w:rsidRDefault="003E19C3" w:rsidP="00A71627">
      <w:pPr>
        <w:ind w:firstLineChars="200" w:firstLine="637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（三）一般性支出情况：</w:t>
      </w:r>
      <w:r w:rsidR="00A71627" w:rsidRPr="00087C92">
        <w:rPr>
          <w:rFonts w:ascii="仿宋" w:eastAsia="仿宋" w:hAnsi="仿宋" w:cs="宋体"/>
          <w:color w:val="000000"/>
          <w:kern w:val="0"/>
          <w:sz w:val="32"/>
          <w:szCs w:val="32"/>
        </w:rPr>
        <w:t>202</w:t>
      </w:r>
      <w:r w:rsidR="00A716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 w:rsidR="00A71627" w:rsidRPr="00087C92">
        <w:rPr>
          <w:rFonts w:ascii="仿宋" w:eastAsia="仿宋" w:hAnsi="仿宋" w:cs="宋体"/>
          <w:color w:val="000000"/>
          <w:kern w:val="0"/>
          <w:sz w:val="32"/>
          <w:szCs w:val="32"/>
        </w:rPr>
        <w:t>年</w:t>
      </w:r>
      <w:r w:rsidR="002C26C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本部门招商引资支出</w:t>
      </w:r>
      <w:r w:rsidR="002C26C7" w:rsidRPr="00005369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48</w:t>
      </w:r>
      <w:r w:rsidR="002C26C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</w:t>
      </w:r>
      <w:r w:rsidR="00A71627" w:rsidRPr="00087C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，拟</w:t>
      </w:r>
      <w:r w:rsidR="002C26C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用于</w:t>
      </w:r>
      <w:r w:rsidR="00A71627" w:rsidRPr="00087C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开展</w:t>
      </w:r>
      <w:r w:rsidR="002C26C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招商引资日常活动、招商引资日常接待等</w:t>
      </w:r>
      <w:r w:rsidR="00A71627" w:rsidRPr="00087C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3E19C3" w:rsidRDefault="003E19C3" w:rsidP="00A71627">
      <w:pPr>
        <w:spacing w:line="600" w:lineRule="exact"/>
        <w:ind w:firstLineChars="200" w:firstLine="637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（四）政府采购情况：</w:t>
      </w:r>
      <w:r>
        <w:rPr>
          <w:rFonts w:eastAsia="仿宋_GB2312"/>
          <w:sz w:val="32"/>
          <w:szCs w:val="32"/>
        </w:rPr>
        <w:t>202</w:t>
      </w:r>
      <w:r w:rsidR="00A71627"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年本部门政府采购预算总额</w:t>
      </w:r>
      <w:r w:rsidR="00B5301C" w:rsidRPr="00005369">
        <w:rPr>
          <w:rFonts w:eastAsia="仿宋_GB2312" w:hint="eastAsia"/>
          <w:b/>
          <w:sz w:val="32"/>
          <w:szCs w:val="32"/>
        </w:rPr>
        <w:t>200</w:t>
      </w:r>
      <w:r w:rsidR="002C26C7">
        <w:rPr>
          <w:rFonts w:eastAsia="仿宋_GB2312"/>
          <w:sz w:val="32"/>
          <w:szCs w:val="32"/>
        </w:rPr>
        <w:t>万元</w:t>
      </w:r>
      <w:r w:rsidR="00B5301C">
        <w:rPr>
          <w:rFonts w:eastAsia="仿宋_GB2312" w:hint="eastAsia"/>
          <w:sz w:val="32"/>
          <w:szCs w:val="32"/>
        </w:rPr>
        <w:t>，其中，货物类采购预算</w:t>
      </w:r>
      <w:r w:rsidR="00B5301C" w:rsidRPr="00005369">
        <w:rPr>
          <w:rFonts w:eastAsia="仿宋_GB2312" w:hint="eastAsia"/>
          <w:b/>
          <w:sz w:val="32"/>
          <w:szCs w:val="32"/>
        </w:rPr>
        <w:t>140</w:t>
      </w:r>
      <w:r w:rsidR="00B5301C">
        <w:rPr>
          <w:rFonts w:eastAsia="仿宋_GB2312" w:hint="eastAsia"/>
          <w:sz w:val="32"/>
          <w:szCs w:val="32"/>
        </w:rPr>
        <w:t>万元，工程类采购预算</w:t>
      </w:r>
      <w:r w:rsidR="00B5301C">
        <w:rPr>
          <w:rFonts w:eastAsia="仿宋_GB2312" w:hint="eastAsia"/>
          <w:sz w:val="32"/>
          <w:szCs w:val="32"/>
        </w:rPr>
        <w:t>0</w:t>
      </w:r>
      <w:r w:rsidR="00B5301C">
        <w:rPr>
          <w:rFonts w:eastAsia="仿宋_GB2312" w:hint="eastAsia"/>
          <w:sz w:val="32"/>
          <w:szCs w:val="32"/>
        </w:rPr>
        <w:t>万元，服务类采购预算</w:t>
      </w:r>
      <w:r w:rsidR="00B5301C" w:rsidRPr="00005369">
        <w:rPr>
          <w:rFonts w:eastAsia="仿宋_GB2312" w:hint="eastAsia"/>
          <w:b/>
          <w:sz w:val="32"/>
          <w:szCs w:val="32"/>
        </w:rPr>
        <w:t>60</w:t>
      </w:r>
      <w:r w:rsidR="00B5301C">
        <w:rPr>
          <w:rFonts w:eastAsia="仿宋_GB2312" w:hint="eastAsia"/>
          <w:sz w:val="32"/>
          <w:szCs w:val="32"/>
        </w:rPr>
        <w:t>万元。</w:t>
      </w:r>
    </w:p>
    <w:p w:rsidR="00B06468" w:rsidRPr="00087C92" w:rsidRDefault="003E19C3" w:rsidP="00B06468">
      <w:pPr>
        <w:ind w:firstLineChars="200" w:firstLine="637"/>
        <w:rPr>
          <w:rFonts w:eastAsia="黑体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（五）国有资产占用使用及新增资产配置情况：</w:t>
      </w:r>
      <w:r>
        <w:rPr>
          <w:rFonts w:eastAsia="仿宋_GB2312"/>
          <w:sz w:val="32"/>
          <w:szCs w:val="32"/>
        </w:rPr>
        <w:t>截至</w:t>
      </w:r>
      <w:r>
        <w:rPr>
          <w:rFonts w:eastAsia="仿宋_GB2312"/>
          <w:sz w:val="32"/>
          <w:szCs w:val="32"/>
        </w:rPr>
        <w:t>202</w:t>
      </w:r>
      <w:r w:rsidR="00A71627"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月底，</w:t>
      </w:r>
      <w:r w:rsidR="00B0646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我单位</w:t>
      </w:r>
      <w:r w:rsidR="008711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共有车辆1辆，价值32.41万元；电脑</w:t>
      </w:r>
      <w:r w:rsidR="008711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22台，价值7.6万元；专用设备40台，价值21.40万元，资产总价值61.41万元。</w:t>
      </w:r>
    </w:p>
    <w:p w:rsidR="003E19C3" w:rsidRDefault="003E19C3" w:rsidP="00B06468">
      <w:pPr>
        <w:widowControl/>
        <w:spacing w:line="600" w:lineRule="exact"/>
        <w:ind w:firstLine="660"/>
        <w:rPr>
          <w:rFonts w:eastAsia="仿宋_GB2312"/>
          <w:bCs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（六）预算绩效目标说明：</w:t>
      </w:r>
      <w:r>
        <w:rPr>
          <w:rFonts w:eastAsia="仿宋_GB2312"/>
          <w:bCs/>
          <w:kern w:val="0"/>
          <w:sz w:val="32"/>
          <w:szCs w:val="32"/>
        </w:rPr>
        <w:t>本部门所有支出实行绩效目标管理。纳入</w:t>
      </w:r>
      <w:r>
        <w:rPr>
          <w:rFonts w:eastAsia="仿宋_GB2312"/>
          <w:bCs/>
          <w:kern w:val="0"/>
          <w:sz w:val="32"/>
          <w:szCs w:val="32"/>
        </w:rPr>
        <w:t>202</w:t>
      </w:r>
      <w:r w:rsidR="00B06468">
        <w:rPr>
          <w:rFonts w:eastAsia="仿宋_GB2312" w:hint="eastAsia"/>
          <w:bCs/>
          <w:kern w:val="0"/>
          <w:sz w:val="32"/>
          <w:szCs w:val="32"/>
        </w:rPr>
        <w:t>2</w:t>
      </w:r>
      <w:r>
        <w:rPr>
          <w:rFonts w:eastAsia="仿宋_GB2312"/>
          <w:bCs/>
          <w:kern w:val="0"/>
          <w:sz w:val="32"/>
          <w:szCs w:val="32"/>
        </w:rPr>
        <w:t>年部门整体支出绩效目标的金额为</w:t>
      </w:r>
      <w:r w:rsidR="002C26C7">
        <w:rPr>
          <w:rFonts w:eastAsia="仿宋_GB2312" w:hint="eastAsia"/>
          <w:sz w:val="32"/>
          <w:szCs w:val="32"/>
        </w:rPr>
        <w:t>188.68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 w:rsidR="002C26C7">
        <w:rPr>
          <w:rFonts w:eastAsia="仿宋_GB2312" w:hint="eastAsia"/>
          <w:sz w:val="32"/>
          <w:szCs w:val="32"/>
        </w:rPr>
        <w:t>140.68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 w:rsidR="002C26C7">
        <w:rPr>
          <w:rFonts w:eastAsia="仿宋_GB2312" w:hint="eastAsia"/>
          <w:sz w:val="32"/>
          <w:szCs w:val="32"/>
        </w:rPr>
        <w:t>48</w:t>
      </w:r>
      <w:r>
        <w:rPr>
          <w:rFonts w:eastAsia="仿宋_GB2312"/>
          <w:bCs/>
          <w:kern w:val="0"/>
          <w:sz w:val="32"/>
          <w:szCs w:val="32"/>
        </w:rPr>
        <w:t>万元，具体绩效目标详见报表。</w:t>
      </w:r>
    </w:p>
    <w:p w:rsidR="003E19C3" w:rsidRDefault="003E19C3"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七、名词解释</w:t>
      </w:r>
    </w:p>
    <w:p w:rsidR="003E19C3" w:rsidRDefault="003E19C3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3E19C3" w:rsidRDefault="003E19C3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经费：纳入省（市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县）财政预算管理的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 w:rsidR="003E19C3" w:rsidRDefault="003E19C3" w:rsidP="00F97DFE">
      <w:pPr>
        <w:widowControl/>
        <w:spacing w:line="600" w:lineRule="exact"/>
        <w:ind w:firstLineChars="200" w:firstLine="637"/>
        <w:jc w:val="left"/>
        <w:rPr>
          <w:rFonts w:eastAsia="仿宋_GB2312"/>
          <w:b/>
          <w:bCs/>
          <w:kern w:val="0"/>
          <w:sz w:val="32"/>
          <w:szCs w:val="32"/>
        </w:rPr>
      </w:pPr>
    </w:p>
    <w:p w:rsidR="003E19C3" w:rsidRDefault="003E19C3" w:rsidP="00F97DFE">
      <w:pPr>
        <w:widowControl/>
        <w:spacing w:line="600" w:lineRule="exact"/>
        <w:ind w:firstLineChars="200" w:firstLine="637"/>
        <w:jc w:val="left"/>
        <w:rPr>
          <w:rFonts w:eastAsia="仿宋_GB2312"/>
          <w:b/>
          <w:bCs/>
          <w:kern w:val="0"/>
          <w:sz w:val="32"/>
          <w:szCs w:val="32"/>
        </w:rPr>
      </w:pPr>
    </w:p>
    <w:p w:rsidR="003E19C3" w:rsidRDefault="003E19C3" w:rsidP="00F97DFE">
      <w:pPr>
        <w:widowControl/>
        <w:spacing w:line="600" w:lineRule="exact"/>
        <w:ind w:firstLineChars="200" w:firstLine="714"/>
        <w:jc w:val="center"/>
        <w:rPr>
          <w:rFonts w:eastAsia="方正小标宋_GBK"/>
          <w:bCs/>
          <w:kern w:val="0"/>
          <w:sz w:val="36"/>
          <w:szCs w:val="36"/>
        </w:rPr>
      </w:pPr>
    </w:p>
    <w:p w:rsidR="003E19C3" w:rsidRDefault="003E19C3" w:rsidP="00F97DFE">
      <w:pPr>
        <w:widowControl/>
        <w:spacing w:line="600" w:lineRule="exact"/>
        <w:ind w:firstLineChars="200" w:firstLine="714"/>
        <w:jc w:val="center"/>
        <w:rPr>
          <w:rFonts w:eastAsia="方正小标宋_GBK"/>
          <w:bCs/>
          <w:kern w:val="0"/>
          <w:sz w:val="36"/>
          <w:szCs w:val="36"/>
        </w:rPr>
      </w:pPr>
    </w:p>
    <w:p w:rsidR="003E19C3" w:rsidRDefault="003E19C3" w:rsidP="00F97DFE">
      <w:pPr>
        <w:widowControl/>
        <w:spacing w:line="600" w:lineRule="exact"/>
        <w:ind w:firstLineChars="200" w:firstLine="714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lastRenderedPageBreak/>
        <w:t>第二部分</w:t>
      </w:r>
      <w:r>
        <w:rPr>
          <w:rFonts w:eastAsia="方正小标宋_GBK"/>
          <w:bCs/>
          <w:kern w:val="0"/>
          <w:sz w:val="36"/>
          <w:szCs w:val="36"/>
        </w:rPr>
        <w:t xml:space="preserve"> 2021</w:t>
      </w:r>
      <w:r>
        <w:rPr>
          <w:rFonts w:eastAsia="方正小标宋_GBK"/>
          <w:bCs/>
          <w:kern w:val="0"/>
          <w:sz w:val="36"/>
          <w:szCs w:val="36"/>
        </w:rPr>
        <w:t>年部门预算表</w:t>
      </w:r>
    </w:p>
    <w:sectPr w:rsidR="003E19C3" w:rsidSect="00DB544E">
      <w:footerReference w:type="even" r:id="rId6"/>
      <w:footerReference w:type="default" r:id="rId7"/>
      <w:pgSz w:w="11907" w:h="16840"/>
      <w:pgMar w:top="1134" w:right="1797" w:bottom="1304" w:left="1797" w:header="851" w:footer="992" w:gutter="0"/>
      <w:cols w:space="720"/>
      <w:docGrid w:type="linesAndChars" w:linePitch="495" w:charSpace="-5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0D3" w:rsidRDefault="001C50D3">
      <w:r>
        <w:separator/>
      </w:r>
    </w:p>
  </w:endnote>
  <w:endnote w:type="continuationSeparator" w:id="0">
    <w:p w:rsidR="001C50D3" w:rsidRDefault="001C5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9C3" w:rsidRDefault="00F618B9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 w:rsidR="003E19C3">
      <w:rPr>
        <w:rStyle w:val="a8"/>
      </w:rPr>
      <w:instrText xml:space="preserve">PAGE  </w:instrText>
    </w:r>
    <w:r>
      <w:fldChar w:fldCharType="end"/>
    </w:r>
  </w:p>
  <w:p w:rsidR="003E19C3" w:rsidRDefault="003E19C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9C3" w:rsidRDefault="00F618B9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 w:rsidR="003E19C3">
      <w:rPr>
        <w:rStyle w:val="a8"/>
      </w:rPr>
      <w:instrText xml:space="preserve">PAGE  </w:instrText>
    </w:r>
    <w:r>
      <w:fldChar w:fldCharType="separate"/>
    </w:r>
    <w:r w:rsidR="00005369">
      <w:rPr>
        <w:rStyle w:val="a8"/>
        <w:noProof/>
      </w:rPr>
      <w:t>2</w:t>
    </w:r>
    <w:r>
      <w:fldChar w:fldCharType="end"/>
    </w:r>
  </w:p>
  <w:p w:rsidR="003E19C3" w:rsidRDefault="003E19C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0D3" w:rsidRDefault="001C50D3">
      <w:r>
        <w:separator/>
      </w:r>
    </w:p>
  </w:footnote>
  <w:footnote w:type="continuationSeparator" w:id="0">
    <w:p w:rsidR="001C50D3" w:rsidRDefault="001C50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7F0"/>
    <w:rsid w:val="00001712"/>
    <w:rsid w:val="00005369"/>
    <w:rsid w:val="000153CF"/>
    <w:rsid w:val="000370BC"/>
    <w:rsid w:val="000460C6"/>
    <w:rsid w:val="00053CAC"/>
    <w:rsid w:val="0005772A"/>
    <w:rsid w:val="00092386"/>
    <w:rsid w:val="000C169D"/>
    <w:rsid w:val="000C34A8"/>
    <w:rsid w:val="000E4464"/>
    <w:rsid w:val="000E7E83"/>
    <w:rsid w:val="000F122D"/>
    <w:rsid w:val="000F1AE6"/>
    <w:rsid w:val="0011067B"/>
    <w:rsid w:val="00112564"/>
    <w:rsid w:val="0012612A"/>
    <w:rsid w:val="001277DB"/>
    <w:rsid w:val="0014469F"/>
    <w:rsid w:val="00151067"/>
    <w:rsid w:val="00194281"/>
    <w:rsid w:val="001A722D"/>
    <w:rsid w:val="001B2201"/>
    <w:rsid w:val="001B40A6"/>
    <w:rsid w:val="001C50D3"/>
    <w:rsid w:val="001D5D9C"/>
    <w:rsid w:val="00202517"/>
    <w:rsid w:val="00204DF7"/>
    <w:rsid w:val="002059BF"/>
    <w:rsid w:val="00211A10"/>
    <w:rsid w:val="002375EE"/>
    <w:rsid w:val="00241E8A"/>
    <w:rsid w:val="002473FE"/>
    <w:rsid w:val="00261A74"/>
    <w:rsid w:val="002679C0"/>
    <w:rsid w:val="002907B7"/>
    <w:rsid w:val="00290E1B"/>
    <w:rsid w:val="00291581"/>
    <w:rsid w:val="002A3A1B"/>
    <w:rsid w:val="002C26C7"/>
    <w:rsid w:val="002C2F37"/>
    <w:rsid w:val="002C31A6"/>
    <w:rsid w:val="002C6EDD"/>
    <w:rsid w:val="002F4545"/>
    <w:rsid w:val="00305B43"/>
    <w:rsid w:val="00321952"/>
    <w:rsid w:val="00334CF4"/>
    <w:rsid w:val="00350B2A"/>
    <w:rsid w:val="00352C7A"/>
    <w:rsid w:val="00360DDA"/>
    <w:rsid w:val="00363566"/>
    <w:rsid w:val="00373263"/>
    <w:rsid w:val="003734B2"/>
    <w:rsid w:val="003750F2"/>
    <w:rsid w:val="00376202"/>
    <w:rsid w:val="00394547"/>
    <w:rsid w:val="003A09E0"/>
    <w:rsid w:val="003D1692"/>
    <w:rsid w:val="003D29EF"/>
    <w:rsid w:val="003E19C3"/>
    <w:rsid w:val="004133F4"/>
    <w:rsid w:val="004137BE"/>
    <w:rsid w:val="00414270"/>
    <w:rsid w:val="00422990"/>
    <w:rsid w:val="00425148"/>
    <w:rsid w:val="00427396"/>
    <w:rsid w:val="00447FCD"/>
    <w:rsid w:val="0048232E"/>
    <w:rsid w:val="004A4B5F"/>
    <w:rsid w:val="004A7A20"/>
    <w:rsid w:val="004A7DE6"/>
    <w:rsid w:val="004C2937"/>
    <w:rsid w:val="004D0BA6"/>
    <w:rsid w:val="004F2317"/>
    <w:rsid w:val="005264EC"/>
    <w:rsid w:val="005373FA"/>
    <w:rsid w:val="00540119"/>
    <w:rsid w:val="00554E94"/>
    <w:rsid w:val="00556D03"/>
    <w:rsid w:val="00557F16"/>
    <w:rsid w:val="00572C36"/>
    <w:rsid w:val="0058338E"/>
    <w:rsid w:val="00584FFD"/>
    <w:rsid w:val="00586F08"/>
    <w:rsid w:val="00594F66"/>
    <w:rsid w:val="00597E81"/>
    <w:rsid w:val="005C0793"/>
    <w:rsid w:val="005C2DBA"/>
    <w:rsid w:val="005D1447"/>
    <w:rsid w:val="005D6732"/>
    <w:rsid w:val="005E0995"/>
    <w:rsid w:val="005F4481"/>
    <w:rsid w:val="006013D3"/>
    <w:rsid w:val="006024B3"/>
    <w:rsid w:val="006210BE"/>
    <w:rsid w:val="006243BC"/>
    <w:rsid w:val="0067368B"/>
    <w:rsid w:val="006902FF"/>
    <w:rsid w:val="006920CE"/>
    <w:rsid w:val="00697524"/>
    <w:rsid w:val="006976C0"/>
    <w:rsid w:val="006979AA"/>
    <w:rsid w:val="006A42A1"/>
    <w:rsid w:val="006B17B0"/>
    <w:rsid w:val="006B1D11"/>
    <w:rsid w:val="006C051D"/>
    <w:rsid w:val="006D0E53"/>
    <w:rsid w:val="006F10C6"/>
    <w:rsid w:val="006F6CEF"/>
    <w:rsid w:val="0070349E"/>
    <w:rsid w:val="00721FB1"/>
    <w:rsid w:val="007258EF"/>
    <w:rsid w:val="00746291"/>
    <w:rsid w:val="007504E7"/>
    <w:rsid w:val="00754ABF"/>
    <w:rsid w:val="00763A56"/>
    <w:rsid w:val="00766703"/>
    <w:rsid w:val="00771697"/>
    <w:rsid w:val="00775E79"/>
    <w:rsid w:val="00781DAB"/>
    <w:rsid w:val="007831DC"/>
    <w:rsid w:val="007868AB"/>
    <w:rsid w:val="00787BDE"/>
    <w:rsid w:val="00790E30"/>
    <w:rsid w:val="007A09E3"/>
    <w:rsid w:val="007B02E6"/>
    <w:rsid w:val="007D2A19"/>
    <w:rsid w:val="007E0B48"/>
    <w:rsid w:val="008007E3"/>
    <w:rsid w:val="008442F7"/>
    <w:rsid w:val="00844EE7"/>
    <w:rsid w:val="008606C3"/>
    <w:rsid w:val="00871118"/>
    <w:rsid w:val="008862A6"/>
    <w:rsid w:val="008A1A21"/>
    <w:rsid w:val="008C150B"/>
    <w:rsid w:val="008D036A"/>
    <w:rsid w:val="008E64EB"/>
    <w:rsid w:val="008F1BC6"/>
    <w:rsid w:val="008F4A7E"/>
    <w:rsid w:val="00915052"/>
    <w:rsid w:val="00915B45"/>
    <w:rsid w:val="00916F4D"/>
    <w:rsid w:val="00927592"/>
    <w:rsid w:val="0094364E"/>
    <w:rsid w:val="0095690B"/>
    <w:rsid w:val="00957690"/>
    <w:rsid w:val="009616BF"/>
    <w:rsid w:val="00965491"/>
    <w:rsid w:val="00986BE9"/>
    <w:rsid w:val="00990355"/>
    <w:rsid w:val="009B55F2"/>
    <w:rsid w:val="009D6CDD"/>
    <w:rsid w:val="009E74EC"/>
    <w:rsid w:val="009F7EFC"/>
    <w:rsid w:val="00A04236"/>
    <w:rsid w:val="00A15EE9"/>
    <w:rsid w:val="00A26331"/>
    <w:rsid w:val="00A26F91"/>
    <w:rsid w:val="00A71627"/>
    <w:rsid w:val="00A72163"/>
    <w:rsid w:val="00A7228A"/>
    <w:rsid w:val="00A802E6"/>
    <w:rsid w:val="00AD1617"/>
    <w:rsid w:val="00AD223D"/>
    <w:rsid w:val="00AD3446"/>
    <w:rsid w:val="00AD682D"/>
    <w:rsid w:val="00AD7CAD"/>
    <w:rsid w:val="00AF4EDE"/>
    <w:rsid w:val="00AF57FD"/>
    <w:rsid w:val="00AF66CB"/>
    <w:rsid w:val="00B01176"/>
    <w:rsid w:val="00B06468"/>
    <w:rsid w:val="00B07380"/>
    <w:rsid w:val="00B15BF1"/>
    <w:rsid w:val="00B23414"/>
    <w:rsid w:val="00B308A3"/>
    <w:rsid w:val="00B340A2"/>
    <w:rsid w:val="00B44F99"/>
    <w:rsid w:val="00B5301C"/>
    <w:rsid w:val="00B55CF0"/>
    <w:rsid w:val="00B61CE3"/>
    <w:rsid w:val="00B81DAF"/>
    <w:rsid w:val="00B83106"/>
    <w:rsid w:val="00B944D8"/>
    <w:rsid w:val="00B95545"/>
    <w:rsid w:val="00BA23B1"/>
    <w:rsid w:val="00BB2DA8"/>
    <w:rsid w:val="00BC09F3"/>
    <w:rsid w:val="00BC10DD"/>
    <w:rsid w:val="00BC19FC"/>
    <w:rsid w:val="00BD3933"/>
    <w:rsid w:val="00C06F22"/>
    <w:rsid w:val="00C10046"/>
    <w:rsid w:val="00C145C2"/>
    <w:rsid w:val="00C1788F"/>
    <w:rsid w:val="00C22FF2"/>
    <w:rsid w:val="00C2380B"/>
    <w:rsid w:val="00C31834"/>
    <w:rsid w:val="00C4194A"/>
    <w:rsid w:val="00C51028"/>
    <w:rsid w:val="00C56F1B"/>
    <w:rsid w:val="00C6274C"/>
    <w:rsid w:val="00C710F0"/>
    <w:rsid w:val="00C7161B"/>
    <w:rsid w:val="00C72B2E"/>
    <w:rsid w:val="00C803CA"/>
    <w:rsid w:val="00C826ED"/>
    <w:rsid w:val="00C91AB3"/>
    <w:rsid w:val="00CB162E"/>
    <w:rsid w:val="00CB596D"/>
    <w:rsid w:val="00CD0B53"/>
    <w:rsid w:val="00CD5B66"/>
    <w:rsid w:val="00CF380C"/>
    <w:rsid w:val="00D0321A"/>
    <w:rsid w:val="00D15A9D"/>
    <w:rsid w:val="00D16F40"/>
    <w:rsid w:val="00D27554"/>
    <w:rsid w:val="00D35C74"/>
    <w:rsid w:val="00D4092B"/>
    <w:rsid w:val="00D521AE"/>
    <w:rsid w:val="00D66585"/>
    <w:rsid w:val="00D80B86"/>
    <w:rsid w:val="00D86B62"/>
    <w:rsid w:val="00D878A5"/>
    <w:rsid w:val="00DA3F53"/>
    <w:rsid w:val="00DA4B82"/>
    <w:rsid w:val="00DB544E"/>
    <w:rsid w:val="00DC4C91"/>
    <w:rsid w:val="00DE2296"/>
    <w:rsid w:val="00E02D16"/>
    <w:rsid w:val="00E21E42"/>
    <w:rsid w:val="00E31169"/>
    <w:rsid w:val="00E3772E"/>
    <w:rsid w:val="00E37F88"/>
    <w:rsid w:val="00E4277D"/>
    <w:rsid w:val="00E43455"/>
    <w:rsid w:val="00E50D4A"/>
    <w:rsid w:val="00E53026"/>
    <w:rsid w:val="00E605C0"/>
    <w:rsid w:val="00E7072E"/>
    <w:rsid w:val="00E90CA8"/>
    <w:rsid w:val="00E970C5"/>
    <w:rsid w:val="00E97AE6"/>
    <w:rsid w:val="00EA4B43"/>
    <w:rsid w:val="00EE0784"/>
    <w:rsid w:val="00EE27BE"/>
    <w:rsid w:val="00EF78CC"/>
    <w:rsid w:val="00F00CF3"/>
    <w:rsid w:val="00F046B7"/>
    <w:rsid w:val="00F07E45"/>
    <w:rsid w:val="00F203EB"/>
    <w:rsid w:val="00F20835"/>
    <w:rsid w:val="00F229E2"/>
    <w:rsid w:val="00F32867"/>
    <w:rsid w:val="00F33D09"/>
    <w:rsid w:val="00F545D6"/>
    <w:rsid w:val="00F56BB7"/>
    <w:rsid w:val="00F60DA9"/>
    <w:rsid w:val="00F618B9"/>
    <w:rsid w:val="00F947F0"/>
    <w:rsid w:val="00F97DFE"/>
    <w:rsid w:val="00FA1FCF"/>
    <w:rsid w:val="00FD4B9B"/>
    <w:rsid w:val="00FD5E2E"/>
    <w:rsid w:val="00FD6E33"/>
    <w:rsid w:val="00FF6EED"/>
    <w:rsid w:val="0AB02DEE"/>
    <w:rsid w:val="1307310A"/>
    <w:rsid w:val="206170B5"/>
    <w:rsid w:val="295A6E90"/>
    <w:rsid w:val="2A773A1D"/>
    <w:rsid w:val="2D860546"/>
    <w:rsid w:val="4055331D"/>
    <w:rsid w:val="43506FF2"/>
    <w:rsid w:val="4EE22343"/>
    <w:rsid w:val="51F5181F"/>
    <w:rsid w:val="5C5B5A07"/>
    <w:rsid w:val="647D7502"/>
    <w:rsid w:val="6EFB2265"/>
    <w:rsid w:val="79EA0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44E"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B544E"/>
    <w:pPr>
      <w:ind w:firstLine="634"/>
    </w:pPr>
    <w:rPr>
      <w:rFonts w:eastAsia="仿宋_GB2312"/>
    </w:rPr>
  </w:style>
  <w:style w:type="paragraph" w:styleId="a4">
    <w:name w:val="Balloon Text"/>
    <w:basedOn w:val="a"/>
    <w:link w:val="Char"/>
    <w:rsid w:val="00DB544E"/>
    <w:rPr>
      <w:sz w:val="18"/>
      <w:szCs w:val="18"/>
    </w:rPr>
  </w:style>
  <w:style w:type="character" w:customStyle="1" w:styleId="Char">
    <w:name w:val="批注框文本 Char"/>
    <w:link w:val="a4"/>
    <w:rsid w:val="00DB544E"/>
    <w:rPr>
      <w:kern w:val="2"/>
      <w:sz w:val="18"/>
      <w:szCs w:val="18"/>
    </w:rPr>
  </w:style>
  <w:style w:type="paragraph" w:styleId="a5">
    <w:name w:val="footer"/>
    <w:basedOn w:val="a"/>
    <w:rsid w:val="00DB5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rsid w:val="00DB5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DB544E"/>
    <w:rPr>
      <w:kern w:val="2"/>
      <w:sz w:val="18"/>
      <w:szCs w:val="18"/>
    </w:rPr>
  </w:style>
  <w:style w:type="paragraph" w:styleId="a7">
    <w:name w:val="Normal (Web)"/>
    <w:basedOn w:val="a"/>
    <w:rsid w:val="00DB54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rsid w:val="00DB544E"/>
  </w:style>
  <w:style w:type="character" w:styleId="a9">
    <w:name w:val="Hyperlink"/>
    <w:rsid w:val="00DB544E"/>
    <w:rPr>
      <w:color w:val="0000FF"/>
      <w:u w:val="single"/>
    </w:rPr>
  </w:style>
  <w:style w:type="paragraph" w:customStyle="1" w:styleId="CharCharCharCharCharChar1">
    <w:name w:val="Char Char Char Char Char Char1"/>
    <w:basedOn w:val="a"/>
    <w:rsid w:val="00DB544E"/>
    <w:rPr>
      <w:rFonts w:ascii="Tahoma" w:hAnsi="Tahom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296</Words>
  <Characters>1693</Characters>
  <Application>Microsoft Office Word</Application>
  <DocSecurity>0</DocSecurity>
  <Lines>14</Lines>
  <Paragraphs>3</Paragraphs>
  <ScaleCrop>false</ScaleCrop>
  <Company>微软中国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湖南省财政厅处室便函</dc:title>
  <dc:creator>朱娜</dc:creator>
  <cp:lastModifiedBy>沅江市投资促进服务中心</cp:lastModifiedBy>
  <cp:revision>9</cp:revision>
  <cp:lastPrinted>2021-03-08T07:47:00Z</cp:lastPrinted>
  <dcterms:created xsi:type="dcterms:W3CDTF">2022-05-10T07:36:00Z</dcterms:created>
  <dcterms:modified xsi:type="dcterms:W3CDTF">2022-05-10T08:10:00Z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58C5212106AD40128DB098461B2D8076</vt:lpwstr>
  </property>
</Properties>
</file>