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52" w:tblpY="1878"/>
        <w:tblOverlap w:val="never"/>
        <w:tblW w:w="8985" w:type="dxa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1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120" w:line="1200" w:lineRule="exact"/>
              <w:jc w:val="distribute"/>
              <w:rPr>
                <w:rFonts w:hint="eastAsia" w:ascii="宋体" w:hAnsi="宋体" w:eastAsia="宋体" w:cs="宋体"/>
                <w:b/>
                <w:bCs/>
                <w:color w:val="FF0000"/>
                <w:w w:val="65"/>
                <w:kern w:val="2"/>
                <w:sz w:val="112"/>
                <w:szCs w:val="11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w w:val="65"/>
                <w:kern w:val="2"/>
                <w:sz w:val="112"/>
                <w:szCs w:val="112"/>
                <w:lang w:eastAsia="zh-CN" w:bidi="ar-SA"/>
              </w:rPr>
              <w:t>沅江市农业农村局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120" w:line="1400" w:lineRule="exact"/>
              <w:jc w:val="both"/>
              <w:rPr>
                <w:rFonts w:hint="eastAsia" w:ascii="宋体" w:hAnsi="宋体" w:eastAsia="宋体" w:cs="宋体"/>
                <w:b/>
                <w:bCs/>
                <w:color w:val="FF0000"/>
                <w:w w:val="65"/>
                <w:kern w:val="2"/>
                <w:sz w:val="100"/>
                <w:szCs w:val="10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w w:val="65"/>
                <w:kern w:val="2"/>
                <w:sz w:val="112"/>
                <w:szCs w:val="112"/>
                <w:lang w:eastAsia="zh-CN" w:bidi="ar-SA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2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120" w:line="1200" w:lineRule="exact"/>
              <w:jc w:val="distribute"/>
              <w:rPr>
                <w:rFonts w:hint="eastAsia" w:ascii="宋体" w:hAnsi="宋体" w:eastAsia="宋体" w:cs="宋体"/>
                <w:b/>
                <w:bCs/>
                <w:color w:val="FF0000"/>
                <w:w w:val="70"/>
                <w:kern w:val="2"/>
                <w:sz w:val="112"/>
                <w:szCs w:val="11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w w:val="65"/>
                <w:kern w:val="2"/>
                <w:sz w:val="112"/>
                <w:szCs w:val="112"/>
                <w:lang w:eastAsia="zh-CN" w:bidi="ar-SA"/>
              </w:rPr>
              <w:t>沅江市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w w:val="70"/>
                <w:kern w:val="2"/>
                <w:sz w:val="112"/>
                <w:szCs w:val="112"/>
                <w:lang w:eastAsia="zh-CN" w:bidi="ar-SA"/>
              </w:rPr>
              <w:t>财政局</w:t>
            </w:r>
          </w:p>
        </w:tc>
        <w:tc>
          <w:tcPr>
            <w:tcW w:w="1784" w:type="dxa"/>
            <w:vMerge w:val="continue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120" w:line="1400" w:lineRule="exact"/>
              <w:jc w:val="distribute"/>
              <w:rPr>
                <w:rFonts w:hint="eastAsia" w:ascii="宋体" w:hAnsi="宋体" w:eastAsia="宋体" w:cs="宋体"/>
                <w:b/>
                <w:bCs/>
                <w:color w:val="FF0000"/>
                <w:spacing w:val="20"/>
                <w:w w:val="65"/>
                <w:kern w:val="2"/>
                <w:sz w:val="120"/>
                <w:szCs w:val="120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985" w:type="dxa"/>
            <w:gridSpan w:val="2"/>
            <w:tcBorders>
              <w:bottom w:val="single" w:color="FF0000" w:sz="1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16"/>
                <w:szCs w:val="32"/>
                <w:lang w:eastAsia="zh-CN" w:bidi="ar-SA"/>
              </w:rPr>
            </w:pPr>
          </w:p>
          <w:p>
            <w:pPr>
              <w:widowControl w:val="0"/>
              <w:adjustRightInd w:val="0"/>
              <w:snapToGrid w:val="0"/>
              <w:spacing w:after="0" w:line="5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农联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eastAsia="zh-CN" w:bidi="ar-SA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沅江市农业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农村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沅江市财政局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pacing w:val="-4"/>
          <w:sz w:val="44"/>
          <w:szCs w:val="44"/>
        </w:rPr>
        <w:t>年耕地地力保护补贴</w:t>
      </w: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发放</w:t>
      </w:r>
      <w:r>
        <w:rPr>
          <w:rFonts w:hint="eastAsia" w:ascii="宋体" w:hAnsi="宋体" w:eastAsia="宋体" w:cs="宋体"/>
          <w:b/>
          <w:bCs/>
          <w:spacing w:val="-4"/>
          <w:sz w:val="44"/>
          <w:szCs w:val="44"/>
        </w:rPr>
        <w:t>工作</w:t>
      </w: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方案</w:t>
      </w:r>
    </w:p>
    <w:p>
      <w:pPr>
        <w:spacing w:line="580" w:lineRule="exact"/>
        <w:jc w:val="center"/>
        <w:rPr>
          <w:rFonts w:hint="default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各镇、街道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、湿地事务中心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根据《湖南省农业“三项补贴”改革试点方案》（湘政办发〔2015〕72号）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、省财政厅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《关于下达2021年耕地地力保护补贴资金的通知》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办《沅江市关于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全面落实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早稻生产的十条措施》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为提高耕地地力补贴指向性、精准性和实效性，确保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惠农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补贴政策落到实处，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年耕地地力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一、补贴对象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种植一季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的耕地地力保护补贴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补贴对象为所有拥有耕地承包权的种地农民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享受补贴的农民要做到耕地不撂荒，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露天焚烧秸秆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地力不降低。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已改变用途的耕地，长年抛荒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的耕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以及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新增耕地“非粮化”的不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耕地地力补贴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双季稻种植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补贴的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补贴对象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为实际种粮的农民或新型经营主体。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二、补贴标准</w:t>
      </w: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种植一季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的耕地地力保护补贴标准为每亩105元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补贴类型代码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0146）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种植双季稻的耕地地力保护补贴标准为每亩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，含计税面积内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种植一季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的耕地地力保护补贴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，双季稻补贴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补贴类型代码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0147）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；计税面积外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种植双季稻的补贴标准为每亩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补贴类型代码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0148）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面积</w:t>
      </w:r>
      <w:r>
        <w:rPr>
          <w:rFonts w:hint="eastAsia" w:ascii="黑体" w:hAnsi="黑体" w:eastAsia="黑体" w:cs="黑体"/>
          <w:sz w:val="32"/>
          <w:szCs w:val="32"/>
        </w:rPr>
        <w:t>核定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根据省财政厅核定的我市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年农作物实际种植面积和双季稻种植面积，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综合核定各乡镇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年耕地地力补贴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发放面积（附件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种植一季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的耕地地力保护补贴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面积按</w:t>
      </w:r>
      <w:r>
        <w:rPr>
          <w:rFonts w:hint="eastAsia" w:ascii="仿宋_GB2312" w:hAnsi="仿宋_GB2312" w:eastAsia="仿宋_GB2312" w:cs="仿宋_GB2312"/>
          <w:sz w:val="32"/>
          <w:szCs w:val="32"/>
        </w:rPr>
        <w:t>计税面积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种植双季稻的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面积由各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镇（街道、事务中心）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早稻播种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，农业、财政联合抽查核实后核定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；计税面积外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种植双季稻的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面积按历史数据核定。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四、发放流程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（一）基础数据管理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分户等原因需要新增或变更补贴发放对象的，农户本人持二代身份证到户口所在地农商银行新开惠农补贴“一卡通”存折或提供已有的农商银行存折账号，村组或社区证明，经财政所登记审核后录入财政惠农补贴系统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（二）补贴数据采集及公示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镇（街道、事务中心）根据本方案要求，组织各村上报耕地地力补贴到户面积，早稻生产到户面积。在村务公开栏张榜公示不少于七个工作日，并留存影像。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事务中心）业务主管站所综合核定到村、到户补贴面积，完成补贴数据的采集，并进行镇级公示，公示期满无异议后，报主要负责人审签并加盖乡镇人民政府公章后，于7月20日前将纸质数据（附件3，一式2份）、电子数据（附件2）、公开公示佐证材料报送市农业农村局种植业管理股（联系人：周长庚，13786753100）。各镇、场、街道，各村是本次补贴发放的责任主体，对上报数据的真实性负责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（三）补贴数据审核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市农业农村局对上报数据进行汇总和程序性审核，市级公示后将补贴数据录入到“一卡通”系统；市财政局相关业务股室对补贴资金种类、标准、金额等内容进行程序性复核，并办理请款、发放手续。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（四）补贴资金发放</w:t>
      </w: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耕地地力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通过财政惠农补贴“一卡通”系统发放到户。本次先发放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种植一季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的耕地地力保护补贴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种植双季稻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和计税面积外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双季稻种植补贴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；计税面积内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种植双季稻的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奖励性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等稻谷价格补贴资金下达后再另行发放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、有关要求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（一）充分提高认识。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镇（街道、事务中心）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要高度重视此次耕地地力保护补贴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工作，向主要领导做好汇报工作，制定切实可行的工作方案，将任务层层分解到位，责任落实到人，确保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圆满完成。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（二）狠抓工作落实。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镇（街道、事务中心）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明确一个部门牵头负责，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时间节点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，认真核定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、采集、上报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数据，确保补贴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6月底前全部发放到位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（三）做好政策宣传。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镇（街道、事务中心）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要借耕地地力保护补贴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的契机，加强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惠农补贴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政策的宣传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重点宣传“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</w:rPr>
        <w:t>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粮多</w:t>
      </w:r>
      <w:r>
        <w:rPr>
          <w:rFonts w:hint="eastAsia" w:ascii="仿宋_GB2312" w:hAnsi="仿宋_GB2312" w:eastAsia="仿宋_GB2312" w:cs="仿宋_GB2312"/>
          <w:sz w:val="32"/>
          <w:szCs w:val="32"/>
        </w:rPr>
        <w:t>得补贴”的补贴政策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和精准补贴政策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，确保补贴政策宣传到位、家喻户晓。</w:t>
      </w:r>
    </w:p>
    <w:p/>
    <w:p>
      <w:pPr>
        <w:spacing w:line="580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1、沅江市20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各乡镇计税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面积核定表</w:t>
      </w:r>
    </w:p>
    <w:p>
      <w:pPr>
        <w:spacing w:line="58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2、沅江市20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年耕地地力保护补贴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数据采集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8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沅江市20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年耕地地力保护补贴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8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、沅江市20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早稻生产面积到户明细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8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pStyle w:val="2"/>
        <w:shd w:val="clear" w:color="auto" w:fill="FFFFFF"/>
        <w:spacing w:before="0" w:beforeAutospacing="0" w:after="0" w:afterAutospacing="0" w:line="360" w:lineRule="atLeast"/>
        <w:ind w:right="375" w:firstLine="960" w:firstLineChars="300"/>
        <w:rPr>
          <w:rFonts w:hint="eastAsia"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沅江市农业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农村</w:t>
      </w:r>
      <w:r>
        <w:rPr>
          <w:rFonts w:hint="eastAsia" w:ascii="仿宋_GB2312" w:hAnsi="Verdana" w:eastAsia="仿宋_GB2312"/>
          <w:sz w:val="32"/>
          <w:szCs w:val="32"/>
        </w:rPr>
        <w:t>局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Verdana" w:eastAsia="仿宋_GB2312"/>
          <w:sz w:val="32"/>
          <w:szCs w:val="32"/>
        </w:rPr>
        <w:t>沅江市财政局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right="375" w:firstLine="640" w:firstLineChars="200"/>
        <w:rPr>
          <w:rFonts w:hint="eastAsia"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Verdana" w:eastAsia="仿宋_GB2312"/>
          <w:sz w:val="32"/>
          <w:szCs w:val="32"/>
        </w:rPr>
        <w:t>年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Verdana" w:eastAsia="仿宋_GB2312"/>
          <w:sz w:val="32"/>
          <w:szCs w:val="32"/>
        </w:rPr>
        <w:t>月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Verdana" w:eastAsia="仿宋_GB2312"/>
          <w:sz w:val="32"/>
          <w:szCs w:val="32"/>
        </w:rPr>
        <w:t>日</w:t>
      </w:r>
    </w:p>
    <w:p/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C431B"/>
    <w:rsid w:val="1A7B03EB"/>
    <w:rsid w:val="24D80DBB"/>
    <w:rsid w:val="26A952A7"/>
    <w:rsid w:val="4F8574CF"/>
    <w:rsid w:val="63522FA5"/>
    <w:rsid w:val="712C431B"/>
    <w:rsid w:val="74E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2021-05-13T01:08:00Z</dcterms:created>
  <dc:creator>手机</dc:creator>
  <cp:lastModifiedBy>YM</cp:lastModifiedBy>
  <dcterms:modified xsi:type="dcterms:W3CDTF">2021-10-21T08:04:29Z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1B963924A4F147FDA6AE49329CF99F6F</vt:lpwstr>
  </property>
</Properties>
</file>