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ascii="宋体" w:hAnsi="宋体" w:eastAsia="宋体" w:cs="宋体"/>
          <w:sz w:val="44"/>
        </w:rPr>
      </w:pPr>
      <w:r>
        <w:rPr>
          <w:rFonts w:hint="eastAsia" w:ascii="宋体" w:hAnsi="宋体" w:eastAsia="宋体" w:cs="宋体"/>
          <w:sz w:val="44"/>
          <w:lang w:eastAsia="zh-CN"/>
        </w:rPr>
        <w:t>中共沅江市委组织部</w:t>
      </w:r>
      <w:r>
        <w:rPr>
          <w:rFonts w:ascii="宋体" w:hAnsi="宋体" w:eastAsia="宋体" w:cs="宋体"/>
          <w:sz w:val="44"/>
        </w:rPr>
        <w:t>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黑体" w:hAnsi="宋体" w:eastAsia="黑体" w:cs="黑体"/>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宋体" w:hAnsi="宋体" w:eastAsia="宋体" w:cs="宋体"/>
          <w:kern w:val="2"/>
          <w:sz w:val="44"/>
          <w:szCs w:val="22"/>
          <w:lang w:val="en-US" w:eastAsia="zh-CN" w:bidi="ar-SA"/>
        </w:rPr>
      </w:pPr>
      <w:r>
        <w:rPr>
          <w:rFonts w:hint="eastAsia" w:ascii="宋体" w:hAnsi="宋体" w:eastAsia="宋体" w:cs="宋体"/>
          <w:kern w:val="2"/>
          <w:sz w:val="44"/>
          <w:szCs w:val="22"/>
          <w:lang w:val="en-US" w:eastAsia="zh-CN" w:bidi="ar-SA"/>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第一部分 中共沅江市委</w:t>
      </w:r>
      <w:r>
        <w:rPr>
          <w:rFonts w:hint="eastAsia" w:ascii="黑体" w:hAnsi="宋体" w:eastAsia="黑体" w:cs="黑体"/>
          <w:i w:val="0"/>
          <w:iCs w:val="0"/>
          <w:caps w:val="0"/>
          <w:color w:val="333333"/>
          <w:spacing w:val="0"/>
          <w:sz w:val="32"/>
          <w:szCs w:val="32"/>
          <w:shd w:val="clear" w:fill="FFFFFF"/>
          <w:lang w:eastAsia="zh-CN"/>
        </w:rPr>
        <w:t>组织部</w:t>
      </w:r>
      <w:r>
        <w:rPr>
          <w:rFonts w:ascii="黑体" w:hAnsi="黑体" w:eastAsia="黑体" w:cs="黑体"/>
          <w:sz w:val="32"/>
        </w:rPr>
        <w:t xml:space="preserve">单位概况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ascii="楷体" w:hAnsi="楷体" w:eastAsia="楷体" w:cs="楷体"/>
          <w:i w:val="0"/>
          <w:iCs w:val="0"/>
          <w:caps w:val="0"/>
          <w:color w:val="333333"/>
          <w:spacing w:val="0"/>
          <w:sz w:val="32"/>
          <w:szCs w:val="32"/>
          <w:shd w:val="clear" w:fill="FFFFFF"/>
        </w:rPr>
        <w:t>一、主要职能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第二部分 中共沅江市委</w:t>
      </w:r>
      <w:r>
        <w:rPr>
          <w:rFonts w:hint="eastAsia" w:ascii="黑体" w:hAnsi="宋体" w:eastAsia="黑体" w:cs="黑体"/>
          <w:i w:val="0"/>
          <w:iCs w:val="0"/>
          <w:caps w:val="0"/>
          <w:color w:val="333333"/>
          <w:spacing w:val="0"/>
          <w:sz w:val="32"/>
          <w:szCs w:val="32"/>
          <w:shd w:val="clear" w:fill="FFFFFF"/>
          <w:lang w:eastAsia="zh-CN"/>
        </w:rPr>
        <w:t>组织部</w:t>
      </w:r>
      <w:r>
        <w:rPr>
          <w:rFonts w:hint="eastAsia" w:ascii="黑体" w:hAnsi="宋体" w:eastAsia="黑体" w:cs="黑体"/>
          <w:i w:val="0"/>
          <w:iCs w:val="0"/>
          <w:caps w:val="0"/>
          <w:color w:val="333333"/>
          <w:spacing w:val="0"/>
          <w:sz w:val="32"/>
          <w:szCs w:val="32"/>
          <w:shd w:val="clear" w:fill="FFFFFF"/>
        </w:rPr>
        <w:t>2019年度部门决算表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二、收入决算表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四、财政拨款收入支出决算总表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五、一般公共预算财政拨款支出决算表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六、一般公共预算财政拨款基本支出决算表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七、一般公共预算财政拨款“三公”经费支出决算表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八、政府性基金预算财政拨款收入支出决算表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第三部分 中共沅江市委</w:t>
      </w:r>
      <w:r>
        <w:rPr>
          <w:rFonts w:hint="eastAsia" w:ascii="黑体" w:hAnsi="宋体" w:eastAsia="黑体" w:cs="黑体"/>
          <w:i w:val="0"/>
          <w:iCs w:val="0"/>
          <w:caps w:val="0"/>
          <w:color w:val="333333"/>
          <w:spacing w:val="0"/>
          <w:sz w:val="32"/>
          <w:szCs w:val="32"/>
          <w:shd w:val="clear" w:fill="FFFFFF"/>
          <w:lang w:eastAsia="zh-CN"/>
        </w:rPr>
        <w:t>组织部</w:t>
      </w:r>
      <w:r>
        <w:rPr>
          <w:rFonts w:hint="eastAsia" w:ascii="黑体" w:hAnsi="宋体" w:eastAsia="黑体" w:cs="黑体"/>
          <w:i w:val="0"/>
          <w:iCs w:val="0"/>
          <w:caps w:val="0"/>
          <w:color w:val="333333"/>
          <w:spacing w:val="0"/>
          <w:sz w:val="32"/>
          <w:szCs w:val="32"/>
          <w:shd w:val="clear" w:fill="FFFFFF"/>
        </w:rPr>
        <w:t>2019年度部门决算情况说明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四、财政拨款收入支出决算总体情况说明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五、</w:t>
      </w:r>
      <w:r>
        <w:rPr>
          <w:rFonts w:hint="eastAsia" w:ascii="楷体" w:hAnsi="楷体" w:eastAsia="楷体" w:cs="楷体"/>
          <w:sz w:val="32"/>
        </w:rPr>
        <w:t>一般公共预算财政拨款</w:t>
      </w:r>
      <w:r>
        <w:rPr>
          <w:rFonts w:hint="eastAsia" w:ascii="楷体" w:hAnsi="楷体" w:eastAsia="楷体" w:cs="楷体"/>
          <w:sz w:val="32"/>
          <w:lang w:val="en-US" w:eastAsia="zh-CN"/>
        </w:rPr>
        <w:t>收入</w:t>
      </w:r>
      <w:r>
        <w:rPr>
          <w:rFonts w:hint="eastAsia" w:ascii="楷体" w:hAnsi="楷体" w:eastAsia="楷体" w:cs="楷体"/>
          <w:sz w:val="32"/>
        </w:rPr>
        <w:t>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六、关于</w:t>
      </w:r>
      <w:r>
        <w:rPr>
          <w:rFonts w:hint="eastAsia" w:ascii="楷体" w:hAnsi="楷体" w:eastAsia="楷体" w:cs="楷体"/>
          <w:i w:val="0"/>
          <w:iCs w:val="0"/>
          <w:caps w:val="0"/>
          <w:color w:val="333333"/>
          <w:spacing w:val="0"/>
          <w:sz w:val="32"/>
          <w:szCs w:val="32"/>
          <w:shd w:val="clear" w:fill="FFFFFF"/>
          <w:lang w:eastAsia="zh-CN"/>
        </w:rPr>
        <w:t>市委组织部2019</w:t>
      </w:r>
      <w:r>
        <w:rPr>
          <w:rFonts w:hint="eastAsia" w:ascii="楷体" w:hAnsi="楷体" w:eastAsia="楷体" w:cs="楷体"/>
          <w:i w:val="0"/>
          <w:iCs w:val="0"/>
          <w:caps w:val="0"/>
          <w:color w:val="333333"/>
          <w:spacing w:val="0"/>
          <w:sz w:val="32"/>
          <w:szCs w:val="32"/>
          <w:shd w:val="clear" w:fill="FFFFFF"/>
        </w:rPr>
        <w:t xml:space="preserve"> 年度一般公共预算财政拨款基本支出决算情况说明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七、政府性基金预算财政拨款支出决算情况说明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八、一般公共预算财政拨款“三公”经费支出决算情况说明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九、预算绩效情况说明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十、其他重要事项情况说明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0" w:afterAutospacing="0"/>
        <w:ind w:left="0" w:right="0"/>
        <w:jc w:val="center"/>
        <w:rPr>
          <w:rFonts w:ascii="微软雅黑" w:hAnsi="微软雅黑" w:eastAsia="微软雅黑" w:cs="微软雅黑"/>
          <w:b/>
          <w:color w:val="000000"/>
          <w:sz w:val="45"/>
          <w:szCs w:val="45"/>
        </w:rPr>
      </w:pPr>
      <w:r>
        <w:rPr>
          <w:rFonts w:hint="eastAsia" w:ascii="微软雅黑" w:hAnsi="微软雅黑" w:eastAsia="微软雅黑" w:cs="微软雅黑"/>
          <w:b/>
          <w:color w:val="000000"/>
          <w:kern w:val="0"/>
          <w:sz w:val="45"/>
          <w:szCs w:val="45"/>
          <w:lang w:val="en-US" w:eastAsia="zh-CN" w:bidi="ar"/>
        </w:rPr>
        <w:t>中共沅江市委组织部2019年部门决算说明及决算公示表</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中共沅江市委组织部</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 xml:space="preserve">一、主要职能 </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一）严格执行党的干部路线、方针、政策，负责全市干部队伍建设的宏观管理，制订或参与制订组织、干部、人事工作的重要政策、规定、制度；负责全市党的建设制度改革工作的规划研究、部署和组织实施；会同有关部门研究制订适应现代企业制度要求的国有企业领导班子和企业经营管理者队伍建设的政策和法规，提出加强宏观指导的意见和建议。</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二）负责干部队伍建设的规划和指导工作。研究拟订加强全市干部队伍建设整体规划和工作措施；负责对市委管理的领导班子进行考察了解，向市委提出调整配备的意见和建议；负责办理市委管理干部的考察、任免、工资、待遇、出国（境）、退（离）休审批手续的办理和日常管理工作；协同机构编制部门拟定副科级以上单位领导职数设置方案；承办市委委托管理干部的调配、交流及安置；负责援疆（藏）干部工作；负责规划、部署、组织实施年轻干部、妇女干部、少数民族干部、党外干部的培养、选拔、任用工作；负责科级领导班子和领导干部年度考核工作；指导镇场街道和市直科局级单位领导班子政治建设；协助管理中央、省属驻沅单位领导班子和领导干部，对领导班子建设和领导干部选拔任用提出意见和建议；负责省、益阳市和沅江市人大代表和政协委员推荐提名工作；负责全市法官和检察官单独职务序列等级晋升有关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三）执行公务员管理政策和法律法规。负责公务员职务与职级并行制度的组织实施；负责公务员和参照公务员法管理单位参公人员的考试录用、考核、奖惩、工资管理、能力建设等工作；指导实施公务员调任、转任、挂职政策；执行公务员职位分类标准和管理办法；执行有关人员调配政策和特殊人员安置政策；组织实施政府奖励，综合管理全市行政奖励表彰工作；承办以市人民政府名义任免工作人员的有关工作；负责公务员信息统计管理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四）负责干部监督工作的宏观指导，负责对党政领导干部选拔任用工作进行监督检查；对反映领导班子和领导干部的重要问题进行调查了解和督办；负责其他历史遗留问题的审理工作；协助做好市委巡察工作；按照上级组织部门要求落实领导干部个人有关事项报告、领导干部任期经济责任审计等工作；负责指导镇场街道和市直各单位组织人事部门开展提醒、函询和诫勉谈话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（五）负责全市干部教育培训的宏观管理，制订干部教育工作规划，组织、协调全市副科级以上干部和部分中青年干部的培训。</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（六）负责全市干部信息、人事档案、党内统计、干部统计工作的宏观指导；负责全市组织系统信息网络建设。</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（七）负责全市人才工作和人才队伍建设的宏观管理和指导；研究拟订人才工作有关政策并组织实施；协调落实专项重点人才工作；协调实施高层次人才培养工程；按政策落实重点人才的相关待遇。</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八）负责研究和指导党组织建设工作。制定加强党的工作制度、党内生活制度的规定和意见；对各领域党的基层组织建设进行分类指导，对各级基层党组织设立进行指导审核，指导各级党委健全党代表大会制度，负责党代表大会代表选举、管理和联络服务。</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九）研究指导党员队伍建设工作。主管党员发展和管理工作，指导、协调党员教育培训；指导镇场街道党委和市直机关事业单位党员领导干部民主生活会；负责全市党费收缴、管理和使用工作；指导开展党内表彰奖励、关怀帮扶等工作；负责全市党组织和党员队伍信息化建设及党内统计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（十）负责全市非公经济组织和社会组织党的建设工作。指导建立工会、共青团、妇联等群众组织，并支持按照各自章程开展活动。</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（十一）承担市委党建工作领导小组日常工作，综合协调有关部门统筹推进基层党建工作，健全和落实基层党建工作责任制，负责基层党建述职评议；协调有关部门指导发展壮大村级（社区）集体经济。</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二）负责市直机关党的建设工作。提出加强和改进党的建设的意见和建议，研究制定工作规划，并抓好组织实施；指导并负责检查考核市直机关各分工委党的政治建设、思想建设、组织建设、作风建设和纪律建设等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（十三）统筹协调全市绩效评估管理工作。拟订绩效评估方案并组织实施，综合掌握工作动态。</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（十四）负责组织工作的综合协调、督促检查和调查研究。指导镇场街道和市直各单位组织人事部门开展工作，及时向上级组织部门报告工作；负责全市党员、干部的来信来访工作。</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（十五）负责管理全市机构编制。</w:t>
      </w:r>
    </w:p>
    <w:p>
      <w:pPr>
        <w:spacing w:beforeLines="0" w:afterLines="0" w:line="520" w:lineRule="exact"/>
        <w:ind w:firstLine="640"/>
        <w:rPr>
          <w:rFonts w:hint="eastAsia" w:ascii="仿宋" w:hAnsi="仿宋" w:eastAsia="仿宋"/>
          <w:sz w:val="32"/>
          <w:lang w:val="en-US"/>
        </w:rPr>
      </w:pPr>
      <w:r>
        <w:rPr>
          <w:rFonts w:hint="eastAsia" w:ascii="仿宋" w:hAnsi="仿宋" w:eastAsia="仿宋"/>
          <w:sz w:val="32"/>
          <w:lang w:val="en-US"/>
        </w:rPr>
        <w:t>（十六）贯彻执行上级组织关于离退休干部工作的方针、政策、法规和决策部署；负责全市离退休干部工作的宏观管理和指导，开展调查研究，针对离退休干部工作中的新情况、新问题，及时提出建设性意见，为市委、市政府制定有关离退休干部工作的政策、规定提供情况和依据，并组织督促检查；指导全市离退休干部政治建设、思想建设、组织建设和离退休干部工委体系建设，组织指导离退休干部开展学习教育活动，发挥作用；指导全市离退休干部服务管理工作，督促落实离休干部政治、生活待遇；负责离退休干部工作的宣传，开展尊老、敬老、爱老活动，依法维护离退休干部的合法权益；指导全市离退休干部工作部门自身建设，按规定开展离退休干部工作先进集体和先进个人评选表彰活动；按照有关规定，做好来沅离退休干部的接待服务工作；承担市委老干部工作领导小组办公室的日常工作；承担市委离退休干部工作委员会的日常管理工作；承担市关心下一代工作委员会的日常工作；负责对所属单位的国有资产和财务管理进行指导和监督，充分发挥各种场地和设施的作用，发展离退休干部事业。</w:t>
      </w:r>
    </w:p>
    <w:p>
      <w:pPr>
        <w:rPr>
          <w:rFonts w:ascii="楷体" w:hAnsi="楷体" w:eastAsia="楷体" w:cs="楷体"/>
          <w:sz w:val="32"/>
        </w:rPr>
      </w:pPr>
      <w:r>
        <w:rPr>
          <w:rFonts w:hint="eastAsia" w:ascii="仿宋" w:hAnsi="仿宋" w:eastAsia="仿宋"/>
          <w:sz w:val="32"/>
          <w:lang w:val="en-US"/>
        </w:rPr>
        <w:t>（十七）完成市委和益阳市委组织部交办的其他工作。</w:t>
      </w:r>
    </w:p>
    <w:p>
      <w:pPr>
        <w:rPr>
          <w:rFonts w:ascii="楷体" w:hAnsi="楷体" w:eastAsia="楷体" w:cs="楷体"/>
          <w:sz w:val="32"/>
        </w:rPr>
      </w:pPr>
      <w:r>
        <w:rPr>
          <w:rFonts w:ascii="楷体" w:hAnsi="楷体" w:eastAsia="楷体" w:cs="楷体"/>
          <w:sz w:val="32"/>
        </w:rPr>
        <w:t>二、机构设置</w:t>
      </w:r>
    </w:p>
    <w:p>
      <w:pPr>
        <w:spacing w:line="520" w:lineRule="exact"/>
        <w:ind w:firstLine="640"/>
        <w:rPr>
          <w:rFonts w:hint="eastAsia" w:ascii="仿宋" w:hAnsi="仿宋" w:eastAsia="仿宋"/>
          <w:sz w:val="32"/>
          <w:lang w:val="en-US"/>
        </w:rPr>
      </w:pPr>
      <w:r>
        <w:rPr>
          <w:rFonts w:hint="eastAsia" w:ascii="仿宋" w:hAnsi="仿宋" w:eastAsia="仿宋"/>
          <w:sz w:val="32"/>
          <w:lang w:val="en-US" w:eastAsia="zh-CN"/>
        </w:rPr>
        <w:t>1</w:t>
      </w:r>
      <w:r>
        <w:rPr>
          <w:rFonts w:hint="eastAsia" w:ascii="仿宋" w:hAnsi="仿宋" w:eastAsia="仿宋"/>
          <w:sz w:val="32"/>
          <w:lang w:val="en-US"/>
        </w:rPr>
        <w:t>．机构情况，2019年本单位由</w:t>
      </w:r>
      <w:r>
        <w:rPr>
          <w:rFonts w:hint="eastAsia" w:ascii="仿宋" w:hAnsi="仿宋" w:eastAsia="仿宋"/>
          <w:sz w:val="32"/>
          <w:lang w:val="en-US" w:eastAsia="zh-CN"/>
        </w:rPr>
        <w:t>市委组织部机关、市委老干部局和市公务员局</w:t>
      </w:r>
      <w:r>
        <w:rPr>
          <w:rFonts w:hint="eastAsia" w:ascii="仿宋" w:hAnsi="仿宋" w:eastAsia="仿宋"/>
          <w:sz w:val="32"/>
          <w:lang w:val="en-US"/>
        </w:rPr>
        <w:t>组成。</w:t>
      </w:r>
    </w:p>
    <w:p>
      <w:pPr>
        <w:spacing w:line="520" w:lineRule="exact"/>
        <w:ind w:firstLine="640"/>
        <w:rPr>
          <w:rFonts w:hint="eastAsia" w:ascii="仿宋" w:hAnsi="仿宋" w:eastAsia="仿宋"/>
          <w:sz w:val="32"/>
          <w:lang w:val="en-US"/>
        </w:rPr>
      </w:pPr>
      <w:r>
        <w:rPr>
          <w:rFonts w:hint="eastAsia" w:ascii="仿宋" w:hAnsi="仿宋" w:eastAsia="仿宋"/>
          <w:sz w:val="32"/>
          <w:lang w:val="en-US" w:eastAsia="zh-CN"/>
        </w:rPr>
        <w:t>2</w:t>
      </w:r>
      <w:r>
        <w:rPr>
          <w:rFonts w:hint="eastAsia" w:ascii="仿宋" w:hAnsi="仿宋" w:eastAsia="仿宋"/>
          <w:sz w:val="32"/>
          <w:lang w:val="en-US"/>
        </w:rPr>
        <w:t>．人员情况。2019年本单位年未实有人数</w:t>
      </w:r>
      <w:r>
        <w:rPr>
          <w:rFonts w:hint="eastAsia" w:ascii="仿宋" w:hAnsi="仿宋" w:eastAsia="仿宋"/>
          <w:sz w:val="28"/>
          <w:lang w:val="en-US"/>
        </w:rPr>
        <w:t>36</w:t>
      </w:r>
      <w:r>
        <w:rPr>
          <w:rFonts w:hint="eastAsia" w:ascii="仿宋" w:hAnsi="仿宋" w:eastAsia="仿宋"/>
          <w:sz w:val="32"/>
          <w:lang w:val="en-US"/>
        </w:rPr>
        <w:t>人，比上年</w:t>
      </w:r>
      <w:r>
        <w:rPr>
          <w:rFonts w:hint="eastAsia" w:ascii="仿宋" w:hAnsi="仿宋" w:eastAsia="仿宋"/>
          <w:sz w:val="32"/>
          <w:lang w:val="zh-CN"/>
        </w:rPr>
        <w:t>变动了（增加或减少）</w:t>
      </w:r>
      <w:r>
        <w:rPr>
          <w:rFonts w:hint="eastAsia" w:ascii="仿宋" w:hAnsi="仿宋" w:eastAsia="仿宋"/>
          <w:sz w:val="32"/>
          <w:lang w:val="en-US" w:eastAsia="zh-CN"/>
        </w:rPr>
        <w:t>10</w:t>
      </w:r>
      <w:r>
        <w:rPr>
          <w:rFonts w:hint="eastAsia" w:ascii="仿宋" w:hAnsi="仿宋" w:eastAsia="仿宋"/>
          <w:sz w:val="32"/>
          <w:lang w:val="en-US"/>
        </w:rPr>
        <w:t>人。人员变化的主要原因是：一是</w:t>
      </w:r>
      <w:r>
        <w:rPr>
          <w:rFonts w:hint="eastAsia" w:ascii="仿宋" w:hAnsi="仿宋" w:eastAsia="仿宋"/>
          <w:sz w:val="32"/>
          <w:lang w:val="en-US" w:eastAsia="zh-CN"/>
        </w:rPr>
        <w:t>部机关人员正常流转，调出3人，调入6人</w:t>
      </w:r>
      <w:r>
        <w:rPr>
          <w:rFonts w:hint="eastAsia" w:ascii="仿宋" w:hAnsi="仿宋" w:eastAsia="仿宋"/>
          <w:sz w:val="32"/>
          <w:lang w:val="en-US"/>
        </w:rPr>
        <w:t>;二是</w:t>
      </w:r>
      <w:r>
        <w:rPr>
          <w:rFonts w:hint="eastAsia" w:ascii="仿宋" w:hAnsi="仿宋" w:eastAsia="仿宋"/>
          <w:sz w:val="32"/>
          <w:lang w:val="en-US" w:eastAsia="zh-CN"/>
        </w:rPr>
        <w:t>机构改革人员转隶7人</w:t>
      </w:r>
      <w:r>
        <w:rPr>
          <w:rFonts w:hint="eastAsia" w:ascii="仿宋" w:hAnsi="仿宋" w:eastAsia="仿宋"/>
          <w:sz w:val="32"/>
          <w:lang w:val="en-US"/>
        </w:rPr>
        <w:t>。</w:t>
      </w:r>
    </w:p>
    <w:p>
      <w:pPr>
        <w:rPr>
          <w:rFonts w:ascii="楷体" w:hAnsi="楷体" w:eastAsia="楷体" w:cs="楷体"/>
          <w:sz w:val="32"/>
        </w:rPr>
      </w:pPr>
    </w:p>
    <w:p>
      <w:pPr>
        <w:numPr>
          <w:ilvl w:val="0"/>
          <w:numId w:val="2"/>
        </w:numPr>
        <w:rPr>
          <w:rFonts w:ascii="楷体" w:hAnsi="楷体" w:eastAsia="楷体" w:cs="楷体"/>
          <w:sz w:val="32"/>
        </w:rPr>
      </w:pPr>
      <w:r>
        <w:rPr>
          <w:rFonts w:ascii="楷体" w:hAnsi="楷体" w:eastAsia="楷体" w:cs="楷体"/>
          <w:sz w:val="32"/>
        </w:rPr>
        <w:t xml:space="preserve">部门决算单位构成 </w:t>
      </w:r>
    </w:p>
    <w:p>
      <w:pPr>
        <w:ind w:firstLine="640"/>
        <w:rPr>
          <w:rFonts w:hint="eastAsia" w:ascii="仿宋" w:hAnsi="仿宋" w:eastAsia="仿宋" w:cs="仿宋"/>
          <w:sz w:val="32"/>
          <w:lang w:eastAsia="zh-CN"/>
        </w:rPr>
      </w:pPr>
      <w:r>
        <w:rPr>
          <w:rFonts w:hint="eastAsia" w:ascii="楷体" w:hAnsi="楷体" w:eastAsia="楷体" w:cs="楷体"/>
          <w:sz w:val="32"/>
          <w:lang w:val="en-US" w:eastAsia="zh-CN"/>
        </w:rPr>
        <w:t xml:space="preserve"> </w:t>
      </w:r>
      <w:r>
        <w:rPr>
          <w:rFonts w:ascii="仿宋" w:hAnsi="仿宋" w:eastAsia="仿宋" w:cs="仿宋"/>
          <w:sz w:val="32"/>
        </w:rPr>
        <w:t>从决算单位构成看，</w:t>
      </w:r>
      <w:r>
        <w:rPr>
          <w:rFonts w:hint="eastAsia" w:ascii="仿宋" w:hAnsi="仿宋" w:eastAsia="仿宋" w:cs="仿宋"/>
          <w:sz w:val="32"/>
          <w:lang w:eastAsia="zh-CN"/>
        </w:rPr>
        <w:t>中共沅江市委组织部</w:t>
      </w:r>
      <w:r>
        <w:rPr>
          <w:rFonts w:ascii="仿宋" w:hAnsi="仿宋" w:eastAsia="仿宋" w:cs="仿宋"/>
          <w:sz w:val="32"/>
        </w:rPr>
        <w:t>单位部门决算包括：</w:t>
      </w:r>
      <w:r>
        <w:rPr>
          <w:rFonts w:hint="eastAsia" w:ascii="仿宋" w:hAnsi="仿宋" w:eastAsia="仿宋" w:cs="仿宋"/>
          <w:sz w:val="32"/>
          <w:lang w:eastAsia="zh-CN"/>
        </w:rPr>
        <w:t>市委组织部</w:t>
      </w:r>
      <w:r>
        <w:rPr>
          <w:rFonts w:ascii="仿宋" w:hAnsi="仿宋" w:eastAsia="仿宋" w:cs="仿宋"/>
          <w:sz w:val="32"/>
        </w:rPr>
        <w:t>单位部门决算</w:t>
      </w:r>
      <w:r>
        <w:rPr>
          <w:rFonts w:hint="eastAsia" w:ascii="仿宋" w:hAnsi="仿宋" w:eastAsia="仿宋" w:cs="仿宋"/>
          <w:sz w:val="32"/>
          <w:lang w:eastAsia="zh-CN"/>
        </w:rPr>
        <w:t>本级。</w:t>
      </w:r>
    </w:p>
    <w:p>
      <w:pPr>
        <w:numPr>
          <w:ilvl w:val="0"/>
          <w:numId w:val="0"/>
        </w:numPr>
        <w:rPr>
          <w:rFonts w:hint="eastAsia" w:ascii="楷体" w:hAnsi="楷体" w:eastAsia="楷体" w:cs="楷体"/>
          <w:sz w:val="32"/>
          <w:lang w:val="en-US" w:eastAsia="zh-CN"/>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numPr>
          <w:ilvl w:val="0"/>
          <w:numId w:val="3"/>
        </w:numPr>
        <w:rPr>
          <w:rFonts w:hint="eastAsia" w:ascii="黑体" w:hAnsi="黑体" w:eastAsia="黑体" w:cs="黑体"/>
          <w:sz w:val="32"/>
          <w:lang w:eastAsia="zh-CN"/>
        </w:rPr>
      </w:pPr>
      <w:r>
        <w:rPr>
          <w:rFonts w:hint="eastAsia" w:ascii="黑体" w:hAnsi="黑体" w:eastAsia="黑体" w:cs="黑体"/>
          <w:sz w:val="32"/>
          <w:lang w:eastAsia="zh-CN"/>
        </w:rPr>
        <w:t>中共沅江市委组织部</w:t>
      </w:r>
      <w:r>
        <w:rPr>
          <w:rFonts w:ascii="黑体" w:hAnsi="黑体" w:eastAsia="黑体" w:cs="黑体"/>
          <w:sz w:val="32"/>
        </w:rPr>
        <w:t>单位201</w:t>
      </w:r>
      <w:r>
        <w:rPr>
          <w:rFonts w:hint="eastAsia" w:ascii="黑体" w:hAnsi="黑体" w:eastAsia="黑体" w:cs="黑体"/>
          <w:sz w:val="32"/>
          <w:lang w:val="en-US" w:eastAsia="zh-CN"/>
        </w:rPr>
        <w:t>9</w:t>
      </w:r>
      <w:r>
        <w:rPr>
          <w:rFonts w:ascii="黑体" w:hAnsi="黑体" w:eastAsia="黑体" w:cs="黑体"/>
          <w:sz w:val="32"/>
        </w:rPr>
        <w:t>年度部门决算表</w:t>
      </w:r>
    </w:p>
    <w:p>
      <w:pPr>
        <w:numPr>
          <w:ilvl w:val="0"/>
          <w:numId w:val="0"/>
        </w:numPr>
        <w:rPr>
          <w:rFonts w:ascii="黑体" w:hAnsi="黑体" w:eastAsia="黑体" w:cs="黑体"/>
          <w:sz w:val="32"/>
        </w:rPr>
      </w:pPr>
    </w:p>
    <w:p>
      <w:pPr>
        <w:numPr>
          <w:ilvl w:val="0"/>
          <w:numId w:val="0"/>
        </w:numPr>
        <w:rPr>
          <w:rFonts w:ascii="黑体" w:hAnsi="黑体" w:eastAsia="黑体" w:cs="黑体"/>
          <w:sz w:val="32"/>
        </w:rPr>
      </w:pPr>
    </w:p>
    <w:p>
      <w:pPr>
        <w:numPr>
          <w:ilvl w:val="0"/>
          <w:numId w:val="0"/>
        </w:numPr>
        <w:rPr>
          <w:rFonts w:ascii="黑体" w:hAnsi="黑体" w:eastAsia="黑体" w:cs="黑体"/>
          <w:sz w:val="32"/>
        </w:rPr>
      </w:pPr>
    </w:p>
    <w:p>
      <w:pPr>
        <w:numPr>
          <w:ilvl w:val="0"/>
          <w:numId w:val="0"/>
        </w:numPr>
        <w:rPr>
          <w:rFonts w:ascii="黑体" w:hAnsi="黑体" w:eastAsia="黑体" w:cs="黑体"/>
          <w:sz w:val="32"/>
        </w:rPr>
      </w:pPr>
    </w:p>
    <w:p>
      <w:pPr>
        <w:numPr>
          <w:ilvl w:val="0"/>
          <w:numId w:val="0"/>
        </w:numPr>
        <w:rPr>
          <w:rFonts w:hint="eastAsia" w:ascii="黑体" w:hAnsi="黑体" w:eastAsia="黑体" w:cs="黑体"/>
          <w:sz w:val="32"/>
          <w:lang w:eastAsia="zh-CN"/>
        </w:rPr>
      </w:pPr>
    </w:p>
    <w:p>
      <w:pPr>
        <w:rPr>
          <w:rFonts w:ascii="楷体" w:hAnsi="楷体" w:eastAsia="楷体" w:cs="楷体"/>
          <w:sz w:val="32"/>
        </w:rPr>
      </w:pPr>
      <w:r>
        <w:rPr>
          <w:rFonts w:ascii="楷体" w:hAnsi="楷体" w:eastAsia="楷体" w:cs="楷体"/>
          <w:sz w:val="32"/>
        </w:rPr>
        <w:t xml:space="preserve">一、收入支出决算总表 </w:t>
      </w:r>
    </w:p>
    <w:p>
      <w:r>
        <w:drawing>
          <wp:inline distT="0" distB="0" distL="114300" distR="114300">
            <wp:extent cx="5230495" cy="3281045"/>
            <wp:effectExtent l="0" t="0" r="8255" b="146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stretch>
                      <a:fillRect/>
                    </a:stretch>
                  </pic:blipFill>
                  <pic:spPr>
                    <a:xfrm>
                      <a:off x="0" y="0"/>
                      <a:ext cx="5230495" cy="3281045"/>
                    </a:xfrm>
                    <a:prstGeom prst="rect">
                      <a:avLst/>
                    </a:prstGeom>
                    <a:noFill/>
                    <a:ln>
                      <a:noFill/>
                    </a:ln>
                  </pic:spPr>
                </pic:pic>
              </a:graphicData>
            </a:graphic>
          </wp:inline>
        </w:drawing>
      </w:r>
    </w:p>
    <w:p/>
    <w:p/>
    <w:p/>
    <w:p/>
    <w:p>
      <w:pPr>
        <w:numPr>
          <w:ilvl w:val="0"/>
          <w:numId w:val="4"/>
        </w:numPr>
        <w:rPr>
          <w:rFonts w:ascii="楷体" w:hAnsi="楷体" w:eastAsia="楷体" w:cs="楷体"/>
          <w:sz w:val="32"/>
        </w:rPr>
      </w:pPr>
      <w:r>
        <w:rPr>
          <w:rFonts w:ascii="楷体" w:hAnsi="楷体" w:eastAsia="楷体" w:cs="楷体"/>
          <w:sz w:val="32"/>
        </w:rPr>
        <w:t xml:space="preserve">收入决算表 </w:t>
      </w:r>
    </w:p>
    <w:p>
      <w:pPr>
        <w:numPr>
          <w:ilvl w:val="0"/>
          <w:numId w:val="0"/>
        </w:numPr>
      </w:pPr>
      <w:r>
        <w:drawing>
          <wp:inline distT="0" distB="0" distL="114300" distR="114300">
            <wp:extent cx="5234940" cy="2954020"/>
            <wp:effectExtent l="0" t="0" r="381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34940" cy="2954020"/>
                    </a:xfrm>
                    <a:prstGeom prst="rect">
                      <a:avLst/>
                    </a:prstGeom>
                    <a:noFill/>
                    <a:ln>
                      <a:noFill/>
                    </a:ln>
                  </pic:spPr>
                </pic:pic>
              </a:graphicData>
            </a:graphic>
          </wp:inline>
        </w:drawing>
      </w: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支出决算表 </w:t>
      </w:r>
    </w:p>
    <w:p>
      <w:pPr>
        <w:numPr>
          <w:ilvl w:val="0"/>
          <w:numId w:val="0"/>
        </w:numPr>
        <w:ind w:leftChars="0"/>
        <w:rPr>
          <w:rFonts w:ascii="楷体" w:hAnsi="楷体" w:eastAsia="楷体" w:cs="楷体"/>
          <w:sz w:val="32"/>
        </w:rPr>
      </w:pPr>
    </w:p>
    <w:p>
      <w:pPr>
        <w:numPr>
          <w:ilvl w:val="0"/>
          <w:numId w:val="0"/>
        </w:numPr>
        <w:ind w:leftChars="0"/>
        <w:rPr>
          <w:rFonts w:ascii="楷体" w:hAnsi="楷体" w:eastAsia="楷体" w:cs="楷体"/>
          <w:sz w:val="32"/>
        </w:rPr>
      </w:pPr>
      <w:r>
        <w:drawing>
          <wp:inline distT="0" distB="0" distL="114300" distR="114300">
            <wp:extent cx="5237480" cy="3093085"/>
            <wp:effectExtent l="0" t="0" r="127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37480" cy="3093085"/>
                    </a:xfrm>
                    <a:prstGeom prst="rect">
                      <a:avLst/>
                    </a:prstGeom>
                    <a:noFill/>
                    <a:ln>
                      <a:noFill/>
                    </a:ln>
                  </pic:spPr>
                </pic:pic>
              </a:graphicData>
            </a:graphic>
          </wp:inline>
        </w:drawing>
      </w: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财政拨款收入支出决算总表 </w:t>
      </w:r>
    </w:p>
    <w:p>
      <w:pPr>
        <w:numPr>
          <w:ilvl w:val="0"/>
          <w:numId w:val="0"/>
        </w:numPr>
        <w:ind w:leftChars="0"/>
      </w:pPr>
      <w:r>
        <w:drawing>
          <wp:inline distT="0" distB="0" distL="114300" distR="114300">
            <wp:extent cx="5230495" cy="2986405"/>
            <wp:effectExtent l="0" t="0" r="825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30495" cy="2986405"/>
                    </a:xfrm>
                    <a:prstGeom prst="rect">
                      <a:avLst/>
                    </a:prstGeom>
                    <a:noFill/>
                    <a:ln>
                      <a:noFill/>
                    </a:ln>
                  </pic:spPr>
                </pic:pic>
              </a:graphicData>
            </a:graphic>
          </wp:inline>
        </w:drawing>
      </w:r>
    </w:p>
    <w:p>
      <w:pPr>
        <w:numPr>
          <w:ilvl w:val="0"/>
          <w:numId w:val="0"/>
        </w:numPr>
        <w:ind w:leftChars="0"/>
      </w:pPr>
    </w:p>
    <w:p>
      <w:pPr>
        <w:numPr>
          <w:ilvl w:val="0"/>
          <w:numId w:val="0"/>
        </w:numPr>
        <w:ind w:leftChars="0"/>
      </w:pPr>
    </w:p>
    <w:p>
      <w:pPr>
        <w:numPr>
          <w:ilvl w:val="0"/>
          <w:numId w:val="0"/>
        </w:numPr>
        <w:ind w:leftChars="0"/>
      </w:pPr>
    </w:p>
    <w:p>
      <w:pPr>
        <w:numPr>
          <w:ilvl w:val="0"/>
          <w:numId w:val="0"/>
        </w:numPr>
        <w:ind w:leftChars="0"/>
      </w:pPr>
    </w:p>
    <w:p>
      <w:pPr>
        <w:numPr>
          <w:ilvl w:val="0"/>
          <w:numId w:val="0"/>
        </w:numPr>
        <w:ind w:leftChars="0"/>
      </w:pP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一般公共预算财政拨款支出决算表 </w:t>
      </w:r>
    </w:p>
    <w:p>
      <w:pPr>
        <w:numPr>
          <w:ilvl w:val="0"/>
          <w:numId w:val="0"/>
        </w:numPr>
        <w:ind w:leftChars="0"/>
        <w:rPr>
          <w:rFonts w:ascii="楷体" w:hAnsi="楷体" w:eastAsia="楷体" w:cs="楷体"/>
          <w:sz w:val="32"/>
        </w:rPr>
      </w:pPr>
      <w:r>
        <w:drawing>
          <wp:inline distT="0" distB="0" distL="114300" distR="114300">
            <wp:extent cx="5233670" cy="3074670"/>
            <wp:effectExtent l="0" t="0" r="5080"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33670" cy="3074670"/>
                    </a:xfrm>
                    <a:prstGeom prst="rect">
                      <a:avLst/>
                    </a:prstGeom>
                    <a:noFill/>
                    <a:ln>
                      <a:noFill/>
                    </a:ln>
                  </pic:spPr>
                </pic:pic>
              </a:graphicData>
            </a:graphic>
          </wp:inline>
        </w:drawing>
      </w: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一般公共预算财政拨款基本支出决算表 </w:t>
      </w:r>
    </w:p>
    <w:p>
      <w:pPr>
        <w:numPr>
          <w:ilvl w:val="0"/>
          <w:numId w:val="0"/>
        </w:numPr>
        <w:ind w:leftChars="0"/>
        <w:rPr>
          <w:rFonts w:ascii="楷体" w:hAnsi="楷体" w:eastAsia="楷体" w:cs="楷体"/>
          <w:sz w:val="32"/>
        </w:rPr>
      </w:pPr>
      <w:r>
        <w:drawing>
          <wp:inline distT="0" distB="0" distL="114300" distR="114300">
            <wp:extent cx="5231130" cy="4538980"/>
            <wp:effectExtent l="0" t="0" r="7620"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31130" cy="4538980"/>
                    </a:xfrm>
                    <a:prstGeom prst="rect">
                      <a:avLst/>
                    </a:prstGeom>
                    <a:noFill/>
                    <a:ln>
                      <a:noFill/>
                    </a:ln>
                  </pic:spPr>
                </pic:pic>
              </a:graphicData>
            </a:graphic>
          </wp:inline>
        </w:drawing>
      </w: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一般公共预算财政拨款“三公”经费支出决算表 </w:t>
      </w:r>
    </w:p>
    <w:p>
      <w:pPr>
        <w:numPr>
          <w:ilvl w:val="0"/>
          <w:numId w:val="0"/>
        </w:numPr>
        <w:ind w:leftChars="0"/>
        <w:rPr>
          <w:rFonts w:ascii="楷体" w:hAnsi="楷体" w:eastAsia="楷体" w:cs="楷体"/>
          <w:sz w:val="32"/>
        </w:rPr>
      </w:pPr>
      <w:r>
        <w:drawing>
          <wp:inline distT="0" distB="0" distL="114300" distR="114300">
            <wp:extent cx="5236210" cy="4352290"/>
            <wp:effectExtent l="0" t="0" r="2540"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36210" cy="4352290"/>
                    </a:xfrm>
                    <a:prstGeom prst="rect">
                      <a:avLst/>
                    </a:prstGeom>
                    <a:noFill/>
                    <a:ln>
                      <a:noFill/>
                    </a:ln>
                  </pic:spPr>
                </pic:pic>
              </a:graphicData>
            </a:graphic>
          </wp:inline>
        </w:drawing>
      </w:r>
    </w:p>
    <w:p>
      <w:pPr>
        <w:numPr>
          <w:ilvl w:val="0"/>
          <w:numId w:val="4"/>
        </w:numPr>
        <w:ind w:left="0" w:leftChars="0" w:firstLine="0" w:firstLineChars="0"/>
        <w:rPr>
          <w:rFonts w:ascii="楷体" w:hAnsi="楷体" w:eastAsia="楷体" w:cs="楷体"/>
          <w:sz w:val="32"/>
        </w:rPr>
      </w:pPr>
      <w:r>
        <w:rPr>
          <w:rFonts w:ascii="楷体" w:hAnsi="楷体" w:eastAsia="楷体" w:cs="楷体"/>
          <w:sz w:val="32"/>
        </w:rPr>
        <w:t xml:space="preserve">政府性基金预算财政拨款收入支出决算表 </w:t>
      </w:r>
    </w:p>
    <w:p>
      <w:pPr>
        <w:numPr>
          <w:ilvl w:val="0"/>
          <w:numId w:val="0"/>
        </w:numPr>
        <w:ind w:leftChars="0"/>
        <w:rPr>
          <w:rFonts w:ascii="楷体" w:hAnsi="楷体" w:eastAsia="楷体" w:cs="楷体"/>
          <w:sz w:val="32"/>
        </w:rPr>
      </w:pPr>
      <w:r>
        <w:drawing>
          <wp:inline distT="0" distB="0" distL="114300" distR="114300">
            <wp:extent cx="5232400" cy="1658620"/>
            <wp:effectExtent l="0" t="0" r="6350"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32400" cy="1658620"/>
                    </a:xfrm>
                    <a:prstGeom prst="rect">
                      <a:avLst/>
                    </a:prstGeom>
                    <a:noFill/>
                    <a:ln>
                      <a:noFill/>
                    </a:ln>
                  </pic:spPr>
                </pic:pic>
              </a:graphicData>
            </a:graphic>
          </wp:inline>
        </w:drawing>
      </w: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中共沅江市委组织部</w:t>
      </w:r>
      <w:r>
        <w:rPr>
          <w:rFonts w:ascii="黑体" w:hAnsi="黑体" w:eastAsia="黑体" w:cs="黑体"/>
          <w:sz w:val="32"/>
        </w:rPr>
        <w:t>单位201</w:t>
      </w:r>
      <w:r>
        <w:rPr>
          <w:rFonts w:hint="eastAsia" w:ascii="黑体" w:hAnsi="黑体" w:eastAsia="黑体" w:cs="黑体"/>
          <w:sz w:val="32"/>
          <w:lang w:val="en-US" w:eastAsia="zh-CN"/>
        </w:rPr>
        <w:t>9</w:t>
      </w:r>
      <w:r>
        <w:rPr>
          <w:rFonts w:ascii="黑体" w:hAnsi="黑体" w:eastAsia="黑体" w:cs="黑体"/>
          <w:sz w:val="32"/>
        </w:rPr>
        <w:t>年度部门决算情况说明</w:t>
      </w:r>
    </w:p>
    <w:p>
      <w:pPr>
        <w:jc w:val="left"/>
        <w:rPr>
          <w:rFonts w:hint="eastAsia" w:ascii="楷体" w:hAnsi="楷体" w:eastAsia="楷体" w:cs="楷体"/>
          <w:sz w:val="32"/>
        </w:rPr>
      </w:pPr>
      <w:r>
        <w:rPr>
          <w:rFonts w:hint="eastAsia" w:ascii="楷体" w:hAnsi="楷体" w:eastAsia="楷体" w:cs="楷体"/>
          <w:sz w:val="32"/>
        </w:rPr>
        <w:t>一、收入支出决算总体情况说明</w:t>
      </w:r>
    </w:p>
    <w:p>
      <w:pPr>
        <w:numPr>
          <w:ilvl w:val="0"/>
          <w:numId w:val="0"/>
        </w:num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2019年度，</w:t>
      </w:r>
      <w:r>
        <w:rPr>
          <w:rFonts w:hint="eastAsia" w:ascii="仿宋" w:hAnsi="仿宋" w:eastAsia="仿宋" w:cs="仿宋"/>
          <w:color w:val="000000" w:themeColor="text1"/>
          <w:sz w:val="32"/>
          <w:szCs w:val="32"/>
          <w:highlight w:val="none"/>
          <w:lang w:val="en-US" w:eastAsia="zh-CN"/>
          <w14:textFill>
            <w14:solidFill>
              <w14:schemeClr w14:val="tx1"/>
            </w14:solidFill>
          </w14:textFill>
        </w:rPr>
        <w:t>收入总计666.76万元，比上年同期（738.86万元）减少72.10万元，下降9.76%；支出总计585.37万元，比上年同期（674.82万元）减少89.45万元，下降13.26%；</w:t>
      </w:r>
    </w:p>
    <w:p>
      <w:pPr>
        <w:numPr>
          <w:ilvl w:val="0"/>
          <w:numId w:val="0"/>
        </w:num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收、支总计</w:t>
      </w:r>
      <w:r>
        <w:rPr>
          <w:rFonts w:hint="eastAsia" w:ascii="仿宋" w:hAnsi="仿宋" w:eastAsia="仿宋" w:cs="仿宋"/>
          <w:color w:val="000000" w:themeColor="text1"/>
          <w:sz w:val="32"/>
          <w:szCs w:val="32"/>
          <w:highlight w:val="none"/>
          <w:lang w:val="en-US" w:eastAsia="zh-CN"/>
          <w14:textFill>
            <w14:solidFill>
              <w14:schemeClr w14:val="tx1"/>
            </w14:solidFill>
          </w14:textFill>
        </w:rPr>
        <w:t>1252.13万元，与2018年（</w:t>
      </w:r>
      <w:r>
        <w:rPr>
          <w:rFonts w:hint="eastAsia" w:ascii="仿宋" w:hAnsi="仿宋" w:eastAsia="仿宋" w:cs="仿宋"/>
          <w:color w:val="000000" w:themeColor="text1"/>
          <w:sz w:val="32"/>
          <w:szCs w:val="32"/>
          <w:highlight w:val="none"/>
          <w:lang w:val="en-US" w:eastAsia="zh-CN"/>
          <w14:textFill>
            <w14:solidFill>
              <w14:schemeClr w14:val="tx1"/>
            </w14:solidFill>
          </w14:textFill>
        </w:rPr>
        <w:t>1413.68万元）相比，收、支总计减少</w:t>
      </w:r>
      <w:r>
        <w:rPr>
          <w:rFonts w:hint="eastAsia" w:ascii="仿宋" w:hAnsi="仿宋" w:eastAsia="仿宋" w:cs="仿宋"/>
          <w:color w:val="000000" w:themeColor="text1"/>
          <w:sz w:val="32"/>
          <w:szCs w:val="32"/>
          <w:highlight w:val="none"/>
          <w:lang w:val="en-US" w:eastAsia="zh-CN"/>
          <w14:textFill>
            <w14:solidFill>
              <w14:schemeClr w14:val="tx1"/>
            </w14:solidFill>
          </w14:textFill>
        </w:rPr>
        <w:t>161.55万元，减少</w:t>
      </w:r>
      <w:r>
        <w:rPr>
          <w:rFonts w:hint="eastAsia" w:ascii="仿宋" w:hAnsi="仿宋" w:eastAsia="仿宋" w:cs="仿宋"/>
          <w:color w:val="000000" w:themeColor="text1"/>
          <w:sz w:val="32"/>
          <w:szCs w:val="32"/>
          <w:highlight w:val="none"/>
          <w:lang w:val="en-US" w:eastAsia="zh-CN"/>
          <w14:textFill>
            <w14:solidFill>
              <w14:schemeClr w14:val="tx1"/>
            </w14:solidFill>
          </w14:textFill>
        </w:rPr>
        <w:t>11.43%，减少原因在于单位厉行节约，控制支出。</w:t>
      </w:r>
    </w:p>
    <w:p>
      <w:pPr>
        <w:jc w:val="left"/>
        <w:rPr>
          <w:rFonts w:hint="eastAsia" w:ascii="楷体" w:hAnsi="楷体" w:eastAsia="楷体" w:cs="楷体"/>
          <w:color w:val="000000" w:themeColor="text1"/>
          <w:sz w:val="32"/>
          <w:highlight w:val="none"/>
          <w14:textFill>
            <w14:solidFill>
              <w14:schemeClr w14:val="tx1"/>
            </w14:solidFill>
          </w14:textFill>
        </w:rPr>
      </w:pPr>
    </w:p>
    <w:p>
      <w:pPr>
        <w:jc w:val="left"/>
        <w:rPr>
          <w:rFonts w:ascii="Calibri" w:hAnsi="Calibri" w:cs="Calibri"/>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32"/>
          <w:highlight w:val="none"/>
          <w:lang w:eastAsia="zh-CN"/>
          <w14:textFill>
            <w14:solidFill>
              <w14:schemeClr w14:val="tx1"/>
            </w14:solidFill>
          </w14:textFill>
        </w:rPr>
        <w:t>二、</w:t>
      </w:r>
      <w:r>
        <w:rPr>
          <w:rFonts w:hint="eastAsia" w:ascii="楷体" w:hAnsi="楷体" w:eastAsia="楷体" w:cs="楷体"/>
          <w:color w:val="000000" w:themeColor="text1"/>
          <w:sz w:val="32"/>
          <w:highlight w:val="none"/>
          <w14:textFill>
            <w14:solidFill>
              <w14:schemeClr w14:val="tx1"/>
            </w14:solidFill>
          </w14:textFill>
        </w:rPr>
        <w:t>收入决算情况说明</w:t>
      </w:r>
    </w:p>
    <w:p>
      <w:pPr>
        <w:numPr>
          <w:ilvl w:val="0"/>
          <w:numId w:val="0"/>
        </w:numPr>
        <w:ind w:firstLine="640" w:firstLineChars="200"/>
        <w:jc w:val="left"/>
        <w:rPr>
          <w:rFonts w:ascii="Calibri" w:hAnsi="Calibri" w:cs="Calibri"/>
          <w:color w:val="000000" w:themeColor="text1"/>
          <w:sz w:val="21"/>
          <w:szCs w:val="21"/>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2019年收入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合计666.76</w:t>
      </w:r>
      <w:r>
        <w:rPr>
          <w:rFonts w:ascii="仿宋" w:hAnsi="仿宋" w:eastAsia="仿宋" w:cs="仿宋"/>
          <w:color w:val="000000" w:themeColor="text1"/>
          <w:sz w:val="32"/>
          <w:szCs w:val="32"/>
          <w:highlight w:val="none"/>
          <w14:textFill>
            <w14:solidFill>
              <w14:schemeClr w14:val="tx1"/>
            </w14:solidFill>
          </w14:textFill>
        </w:rPr>
        <w:t>万元，其中：一般公共预算拨款收入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666.09</w:t>
      </w:r>
      <w:r>
        <w:rPr>
          <w:rFonts w:ascii="仿宋" w:hAnsi="仿宋" w:eastAsia="仿宋" w:cs="仿宋"/>
          <w:color w:val="000000" w:themeColor="text1"/>
          <w:sz w:val="32"/>
          <w:szCs w:val="32"/>
          <w:highlight w:val="none"/>
          <w14:textFill>
            <w14:solidFill>
              <w14:schemeClr w14:val="tx1"/>
            </w14:solidFill>
          </w14:textFill>
        </w:rPr>
        <w:t>万元，占本年总收入99.</w:t>
      </w:r>
      <w:r>
        <w:rPr>
          <w:rFonts w:hint="eastAsia" w:ascii="仿宋" w:hAnsi="仿宋" w:eastAsia="仿宋" w:cs="仿宋"/>
          <w:color w:val="000000" w:themeColor="text1"/>
          <w:sz w:val="32"/>
          <w:szCs w:val="32"/>
          <w:highlight w:val="none"/>
          <w:lang w:val="en-US" w:eastAsia="zh-CN"/>
          <w14:textFill>
            <w14:solidFill>
              <w14:schemeClr w14:val="tx1"/>
            </w14:solidFill>
          </w14:textFill>
        </w:rPr>
        <w:t>99</w:t>
      </w:r>
      <w:r>
        <w:rPr>
          <w:rFonts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其他收入0.66万元，占本年总收入0.01%</w:t>
      </w:r>
    </w:p>
    <w:p>
      <w:pPr>
        <w:numPr>
          <w:ilvl w:val="0"/>
          <w:numId w:val="0"/>
        </w:numPr>
        <w:jc w:val="left"/>
        <w:rPr>
          <w:rFonts w:hint="default" w:ascii="楷体" w:hAnsi="楷体" w:eastAsia="楷体" w:cs="楷体"/>
          <w:sz w:val="32"/>
          <w:lang w:val="en-US" w:eastAsia="zh-CN"/>
        </w:rPr>
      </w:pPr>
    </w:p>
    <w:p>
      <w:pPr>
        <w:numPr>
          <w:ilvl w:val="0"/>
          <w:numId w:val="0"/>
        </w:numPr>
        <w:ind w:leftChars="0"/>
        <w:jc w:val="left"/>
        <w:rPr>
          <w:rFonts w:ascii="Calibri" w:hAnsi="Calibri" w:cs="Calibri"/>
          <w:sz w:val="21"/>
          <w:szCs w:val="21"/>
        </w:rPr>
      </w:pPr>
      <w:r>
        <w:rPr>
          <w:rFonts w:hint="eastAsia" w:ascii="楷体" w:hAnsi="楷体" w:eastAsia="楷体" w:cs="楷体"/>
          <w:sz w:val="32"/>
          <w:lang w:eastAsia="zh-CN"/>
        </w:rPr>
        <w:t>三、</w:t>
      </w:r>
      <w:r>
        <w:rPr>
          <w:rFonts w:hint="eastAsia" w:ascii="楷体" w:hAnsi="楷体" w:eastAsia="楷体" w:cs="楷体"/>
          <w:sz w:val="32"/>
        </w:rPr>
        <w:t>支出决算情况说明</w:t>
      </w:r>
    </w:p>
    <w:p>
      <w:pPr>
        <w:numPr>
          <w:ilvl w:val="0"/>
          <w:numId w:val="0"/>
        </w:numPr>
        <w:ind w:leftChars="0" w:firstLine="640" w:firstLineChars="200"/>
        <w:jc w:val="left"/>
        <w:rPr>
          <w:rFonts w:ascii="Calibri" w:hAnsi="Calibri" w:cs="Calibri"/>
          <w:sz w:val="21"/>
          <w:szCs w:val="21"/>
        </w:rPr>
      </w:pPr>
      <w:r>
        <w:rPr>
          <w:rFonts w:hint="eastAsia" w:ascii="仿宋" w:hAnsi="仿宋" w:eastAsia="仿宋" w:cs="仿宋"/>
          <w:color w:val="333333"/>
          <w:sz w:val="32"/>
          <w:szCs w:val="32"/>
          <w:lang w:val="en-US" w:eastAsia="zh-CN"/>
        </w:rPr>
        <w:t>2019年</w:t>
      </w:r>
      <w:r>
        <w:rPr>
          <w:rFonts w:ascii="仿宋" w:hAnsi="仿宋" w:eastAsia="仿宋" w:cs="仿宋"/>
          <w:color w:val="333333"/>
          <w:sz w:val="32"/>
          <w:szCs w:val="32"/>
        </w:rPr>
        <w:t>支出合计</w:t>
      </w:r>
      <w:r>
        <w:rPr>
          <w:rFonts w:hint="eastAsia" w:ascii="仿宋" w:hAnsi="仿宋" w:eastAsia="仿宋" w:cs="仿宋"/>
          <w:color w:val="333333"/>
          <w:sz w:val="32"/>
          <w:szCs w:val="32"/>
          <w:lang w:val="en-US" w:eastAsia="zh-CN"/>
        </w:rPr>
        <w:t>585.37</w:t>
      </w:r>
      <w:r>
        <w:rPr>
          <w:rFonts w:ascii="仿宋" w:hAnsi="仿宋" w:eastAsia="仿宋" w:cs="仿宋"/>
          <w:color w:val="333333"/>
          <w:sz w:val="32"/>
          <w:szCs w:val="32"/>
        </w:rPr>
        <w:t>万元，其中：基本支出</w:t>
      </w:r>
      <w:r>
        <w:rPr>
          <w:rFonts w:hint="eastAsia" w:ascii="仿宋" w:hAnsi="仿宋" w:eastAsia="仿宋" w:cs="仿宋"/>
          <w:color w:val="333333"/>
          <w:sz w:val="32"/>
          <w:szCs w:val="32"/>
          <w:lang w:val="en-US" w:eastAsia="zh-CN"/>
        </w:rPr>
        <w:t>308.66</w:t>
      </w:r>
      <w:r>
        <w:rPr>
          <w:rFonts w:ascii="仿宋" w:hAnsi="仿宋" w:eastAsia="仿宋" w:cs="仿宋"/>
          <w:color w:val="333333"/>
          <w:sz w:val="32"/>
          <w:szCs w:val="32"/>
        </w:rPr>
        <w:t>万元，占本年总支出5</w:t>
      </w:r>
      <w:r>
        <w:rPr>
          <w:rFonts w:hint="eastAsia" w:ascii="仿宋" w:hAnsi="仿宋" w:eastAsia="仿宋" w:cs="仿宋"/>
          <w:color w:val="333333"/>
          <w:sz w:val="32"/>
          <w:szCs w:val="32"/>
          <w:lang w:val="en-US" w:eastAsia="zh-CN"/>
        </w:rPr>
        <w:t>2.73</w:t>
      </w:r>
      <w:r>
        <w:rPr>
          <w:rFonts w:ascii="仿宋" w:hAnsi="仿宋" w:eastAsia="仿宋" w:cs="仿宋"/>
          <w:color w:val="333333"/>
          <w:sz w:val="32"/>
          <w:szCs w:val="32"/>
        </w:rPr>
        <w:t>%。项目支出</w:t>
      </w:r>
      <w:r>
        <w:rPr>
          <w:rFonts w:hint="eastAsia" w:ascii="仿宋" w:hAnsi="仿宋" w:eastAsia="仿宋" w:cs="仿宋"/>
          <w:color w:val="333333"/>
          <w:sz w:val="32"/>
          <w:szCs w:val="32"/>
          <w:lang w:val="en-US" w:eastAsia="zh-CN"/>
        </w:rPr>
        <w:t>276.71</w:t>
      </w:r>
      <w:r>
        <w:rPr>
          <w:rFonts w:ascii="仿宋" w:hAnsi="仿宋" w:eastAsia="仿宋" w:cs="仿宋"/>
          <w:color w:val="333333"/>
          <w:sz w:val="32"/>
          <w:szCs w:val="32"/>
        </w:rPr>
        <w:t>万元，占本年总支出</w:t>
      </w:r>
      <w:r>
        <w:rPr>
          <w:rFonts w:hint="eastAsia" w:ascii="仿宋" w:hAnsi="仿宋" w:eastAsia="仿宋" w:cs="仿宋"/>
          <w:color w:val="333333"/>
          <w:sz w:val="32"/>
          <w:szCs w:val="32"/>
          <w:lang w:val="en-US" w:eastAsia="zh-CN"/>
        </w:rPr>
        <w:t>47.27</w:t>
      </w:r>
      <w:r>
        <w:rPr>
          <w:rFonts w:ascii="仿宋" w:hAnsi="仿宋" w:eastAsia="仿宋" w:cs="仿宋"/>
          <w:color w:val="333333"/>
          <w:sz w:val="32"/>
          <w:szCs w:val="32"/>
        </w:rPr>
        <w:t>%。</w:t>
      </w:r>
    </w:p>
    <w:p>
      <w:pPr>
        <w:numPr>
          <w:ilvl w:val="0"/>
          <w:numId w:val="0"/>
        </w:numPr>
        <w:ind w:leftChars="0"/>
        <w:jc w:val="left"/>
        <w:rPr>
          <w:rFonts w:hint="eastAsia" w:ascii="楷体" w:hAnsi="楷体" w:eastAsia="楷体" w:cs="楷体"/>
          <w:sz w:val="32"/>
        </w:rPr>
      </w:pPr>
    </w:p>
    <w:p>
      <w:pPr>
        <w:numPr>
          <w:ilvl w:val="0"/>
          <w:numId w:val="0"/>
        </w:numPr>
        <w:ind w:leftChars="0"/>
        <w:jc w:val="left"/>
        <w:rPr>
          <w:rFonts w:ascii="Calibri" w:hAnsi="Calibri" w:cs="Calibri"/>
          <w:sz w:val="21"/>
          <w:szCs w:val="21"/>
        </w:rPr>
      </w:pPr>
      <w:r>
        <w:rPr>
          <w:rFonts w:hint="eastAsia" w:ascii="楷体" w:hAnsi="楷体" w:eastAsia="楷体" w:cs="楷体"/>
          <w:sz w:val="32"/>
          <w:lang w:eastAsia="zh-CN"/>
        </w:rPr>
        <w:t>四、</w:t>
      </w:r>
      <w:r>
        <w:rPr>
          <w:rFonts w:hint="eastAsia" w:ascii="楷体" w:hAnsi="楷体" w:eastAsia="楷体" w:cs="楷体"/>
          <w:sz w:val="32"/>
        </w:rPr>
        <w:t>财政拨款收入支出决算总体情况说明</w:t>
      </w:r>
    </w:p>
    <w:p>
      <w:pPr>
        <w:numPr>
          <w:ilvl w:val="0"/>
          <w:numId w:val="0"/>
        </w:numPr>
        <w:ind w:leftChars="0" w:firstLine="640" w:firstLineChars="200"/>
        <w:jc w:val="left"/>
        <w:rPr>
          <w:rFonts w:ascii="仿宋" w:hAnsi="仿宋" w:eastAsia="仿宋" w:cs="仿宋"/>
          <w:color w:val="333333"/>
          <w:sz w:val="32"/>
          <w:szCs w:val="32"/>
        </w:rPr>
      </w:pPr>
      <w:r>
        <w:rPr>
          <w:rFonts w:ascii="仿宋" w:hAnsi="仿宋" w:eastAsia="仿宋" w:cs="仿宋"/>
          <w:color w:val="333333"/>
          <w:sz w:val="32"/>
          <w:szCs w:val="32"/>
        </w:rPr>
        <w:t>2019年度财政拨款收、支总计</w:t>
      </w:r>
      <w:r>
        <w:rPr>
          <w:rFonts w:hint="eastAsia" w:ascii="仿宋" w:hAnsi="仿宋" w:eastAsia="仿宋" w:cs="仿宋"/>
          <w:color w:val="333333"/>
          <w:sz w:val="32"/>
          <w:szCs w:val="32"/>
          <w:lang w:val="en-US" w:eastAsia="zh-CN"/>
        </w:rPr>
        <w:t>1251.47</w:t>
      </w:r>
      <w:r>
        <w:rPr>
          <w:rFonts w:ascii="仿宋" w:hAnsi="仿宋" w:eastAsia="仿宋" w:cs="仿宋"/>
          <w:color w:val="333333"/>
          <w:sz w:val="32"/>
          <w:szCs w:val="32"/>
        </w:rPr>
        <w:t>万元，与2018年</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1413</w:t>
      </w:r>
      <w:r>
        <w:rPr>
          <w:rFonts w:hint="eastAsia" w:ascii="仿宋" w:hAnsi="仿宋" w:eastAsia="仿宋" w:cs="仿宋"/>
          <w:color w:val="000000" w:themeColor="text1"/>
          <w:sz w:val="32"/>
          <w:szCs w:val="32"/>
          <w:highlight w:val="none"/>
          <w:lang w:val="en-US" w:eastAsia="zh-CN"/>
          <w14:textFill>
            <w14:solidFill>
              <w14:schemeClr w14:val="tx1"/>
            </w14:solidFill>
          </w14:textFill>
        </w:rPr>
        <w:t>.68万元）</w:t>
      </w:r>
      <w:r>
        <w:rPr>
          <w:rFonts w:ascii="仿宋" w:hAnsi="仿宋" w:eastAsia="仿宋" w:cs="仿宋"/>
          <w:color w:val="000000" w:themeColor="text1"/>
          <w:sz w:val="32"/>
          <w:szCs w:val="32"/>
          <w:highlight w:val="none"/>
          <w14:textFill>
            <w14:solidFill>
              <w14:schemeClr w14:val="tx1"/>
            </w14:solidFill>
          </w14:textFill>
        </w:rPr>
        <w:t>相比，财政</w:t>
      </w:r>
      <w:r>
        <w:rPr>
          <w:rFonts w:ascii="仿宋" w:hAnsi="仿宋" w:eastAsia="仿宋" w:cs="仿宋"/>
          <w:color w:val="333333"/>
          <w:sz w:val="32"/>
          <w:szCs w:val="32"/>
        </w:rPr>
        <w:t>拨款收、支总计</w:t>
      </w:r>
      <w:r>
        <w:rPr>
          <w:rFonts w:hint="eastAsia" w:ascii="仿宋" w:hAnsi="仿宋" w:eastAsia="仿宋" w:cs="仿宋"/>
          <w:color w:val="333333"/>
          <w:sz w:val="32"/>
          <w:szCs w:val="32"/>
          <w:lang w:eastAsia="zh-CN"/>
        </w:rPr>
        <w:t>共减少</w:t>
      </w:r>
      <w:r>
        <w:rPr>
          <w:rFonts w:hint="eastAsia" w:ascii="仿宋" w:hAnsi="仿宋" w:eastAsia="仿宋" w:cs="仿宋"/>
          <w:color w:val="333333"/>
          <w:sz w:val="32"/>
          <w:szCs w:val="32"/>
          <w:lang w:val="en-US" w:eastAsia="zh-CN"/>
        </w:rPr>
        <w:t>162.21</w:t>
      </w:r>
      <w:r>
        <w:rPr>
          <w:rFonts w:ascii="仿宋" w:hAnsi="仿宋" w:eastAsia="仿宋" w:cs="仿宋"/>
          <w:color w:val="333333"/>
          <w:sz w:val="32"/>
          <w:szCs w:val="32"/>
        </w:rPr>
        <w:t>万元，</w:t>
      </w:r>
      <w:r>
        <w:rPr>
          <w:rFonts w:hint="eastAsia" w:ascii="仿宋" w:hAnsi="仿宋" w:eastAsia="仿宋" w:cs="仿宋"/>
          <w:color w:val="333333"/>
          <w:sz w:val="32"/>
          <w:szCs w:val="32"/>
          <w:lang w:eastAsia="zh-CN"/>
        </w:rPr>
        <w:t>减少</w:t>
      </w:r>
      <w:r>
        <w:rPr>
          <w:rFonts w:hint="eastAsia" w:ascii="仿宋" w:hAnsi="仿宋" w:eastAsia="仿宋" w:cs="仿宋"/>
          <w:color w:val="333333"/>
          <w:sz w:val="32"/>
          <w:szCs w:val="32"/>
          <w:lang w:val="en-US" w:eastAsia="zh-CN"/>
        </w:rPr>
        <w:t>11.47</w:t>
      </w:r>
      <w:r>
        <w:rPr>
          <w:rFonts w:ascii="仿宋" w:hAnsi="仿宋" w:eastAsia="仿宋" w:cs="仿宋"/>
          <w:color w:val="333333"/>
          <w:sz w:val="32"/>
          <w:szCs w:val="32"/>
        </w:rPr>
        <w:t>%。</w:t>
      </w:r>
    </w:p>
    <w:p>
      <w:pPr>
        <w:numPr>
          <w:ilvl w:val="0"/>
          <w:numId w:val="0"/>
        </w:numPr>
        <w:ind w:leftChars="0" w:firstLine="640" w:firstLineChars="20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其中，2019年度财政拨款收入总计666.09万元，比上年同期（738.86万元）减少72.77万元，下降9.85%；2019年度财政拨款支出总计585.37万元，比上年同期（674.82万元）减少89.45万元，下降13.26%。</w:t>
      </w:r>
    </w:p>
    <w:p>
      <w:pPr>
        <w:numPr>
          <w:ilvl w:val="0"/>
          <w:numId w:val="0"/>
        </w:numPr>
        <w:ind w:leftChars="0" w:firstLine="640" w:firstLineChars="20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主要原因：厉行节约，严格把关经费审批和报销。</w:t>
      </w:r>
    </w:p>
    <w:p>
      <w:pPr>
        <w:numPr>
          <w:ilvl w:val="0"/>
          <w:numId w:val="0"/>
        </w:numPr>
        <w:ind w:leftChars="0"/>
        <w:jc w:val="left"/>
        <w:rPr>
          <w:rFonts w:hint="eastAsia" w:ascii="楷体" w:hAnsi="楷体" w:eastAsia="楷体" w:cs="楷体"/>
          <w:sz w:val="32"/>
        </w:rPr>
      </w:pPr>
    </w:p>
    <w:p>
      <w:pPr>
        <w:numPr>
          <w:ilvl w:val="0"/>
          <w:numId w:val="0"/>
        </w:numPr>
        <w:ind w:leftChars="0"/>
        <w:jc w:val="left"/>
        <w:rPr>
          <w:rFonts w:hint="eastAsia" w:ascii="楷体" w:hAnsi="楷体" w:eastAsia="楷体" w:cs="楷体"/>
          <w:sz w:val="32"/>
        </w:rPr>
      </w:pPr>
      <w:r>
        <w:rPr>
          <w:rFonts w:hint="eastAsia" w:ascii="楷体" w:hAnsi="楷体" w:eastAsia="楷体" w:cs="楷体"/>
          <w:sz w:val="32"/>
          <w:lang w:eastAsia="zh-CN"/>
        </w:rPr>
        <w:t>五、</w:t>
      </w:r>
      <w:r>
        <w:rPr>
          <w:rFonts w:hint="eastAsia" w:ascii="楷体" w:hAnsi="楷体" w:eastAsia="楷体" w:cs="楷体"/>
          <w:sz w:val="32"/>
        </w:rPr>
        <w:t>一般公共预算财政拨款</w:t>
      </w:r>
      <w:r>
        <w:rPr>
          <w:rFonts w:hint="eastAsia" w:ascii="楷体" w:hAnsi="楷体" w:eastAsia="楷体" w:cs="楷体"/>
          <w:sz w:val="32"/>
          <w:lang w:val="en-US" w:eastAsia="zh-CN"/>
        </w:rPr>
        <w:t>收入</w:t>
      </w:r>
      <w:r>
        <w:rPr>
          <w:rFonts w:hint="eastAsia" w:ascii="楷体" w:hAnsi="楷体" w:eastAsia="楷体" w:cs="楷体"/>
          <w:sz w:val="32"/>
        </w:rPr>
        <w:t>支出决算情况说明</w:t>
      </w:r>
    </w:p>
    <w:p>
      <w:pPr>
        <w:numPr>
          <w:ilvl w:val="0"/>
          <w:numId w:val="0"/>
        </w:numPr>
        <w:ind w:leftChars="0" w:firstLine="640" w:firstLineChars="20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（一）一般公共预算拨款收入支出决算总体情况</w:t>
      </w:r>
    </w:p>
    <w:p>
      <w:pPr>
        <w:numPr>
          <w:ilvl w:val="0"/>
          <w:numId w:val="0"/>
        </w:numPr>
        <w:ind w:leftChars="0" w:firstLine="640" w:firstLineChars="20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2019年度一般公共预算财政拨款收入总计666.09万元，比上年同期（738.86万元）减少72.77万元，下降9.85%；一般公共预算财政拨款支出总计585.37万元，比上年同期（674.82万元）减少89.45万元，下降13.26%，主要原因：开源节流，严格把关经费审批和报销。</w:t>
      </w:r>
    </w:p>
    <w:p>
      <w:pPr>
        <w:numPr>
          <w:ilvl w:val="0"/>
          <w:numId w:val="0"/>
        </w:numPr>
        <w:ind w:leftChars="0" w:firstLine="640" w:firstLineChars="200"/>
        <w:jc w:val="left"/>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（二）一般公共预算拨款支出决算构成情况</w:t>
      </w:r>
    </w:p>
    <w:p>
      <w:pPr>
        <w:numPr>
          <w:ilvl w:val="0"/>
          <w:numId w:val="0"/>
        </w:numPr>
        <w:ind w:leftChars="0" w:firstLine="640" w:firstLineChars="20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一般公共预算拨款支出</w:t>
      </w:r>
      <w:r>
        <w:rPr>
          <w:rFonts w:hint="eastAsia" w:ascii="仿宋" w:hAnsi="仿宋" w:eastAsia="仿宋" w:cs="仿宋"/>
          <w:color w:val="333333"/>
          <w:sz w:val="32"/>
          <w:szCs w:val="32"/>
          <w:lang w:val="en-US" w:eastAsia="zh-CN"/>
        </w:rPr>
        <w:t>585.37万元，主要用于以下方面：一般公共服务支出</w:t>
      </w:r>
      <w:r>
        <w:rPr>
          <w:rFonts w:hint="eastAsia" w:ascii="仿宋" w:hAnsi="仿宋" w:eastAsia="仿宋" w:cs="仿宋"/>
          <w:color w:val="333333"/>
          <w:sz w:val="32"/>
          <w:szCs w:val="32"/>
          <w:lang w:val="en-US" w:eastAsia="zh-CN"/>
        </w:rPr>
        <w:t>568.19万元，占9</w:t>
      </w:r>
      <w:r>
        <w:rPr>
          <w:rFonts w:hint="eastAsia" w:ascii="仿宋" w:hAnsi="仿宋" w:eastAsia="仿宋" w:cs="仿宋"/>
          <w:color w:val="333333"/>
          <w:sz w:val="32"/>
          <w:szCs w:val="32"/>
          <w:lang w:val="en-US" w:eastAsia="zh-CN"/>
        </w:rPr>
        <w:t>7.07%。住房保障支出</w:t>
      </w:r>
      <w:r>
        <w:rPr>
          <w:rFonts w:hint="eastAsia" w:ascii="仿宋" w:hAnsi="仿宋" w:eastAsia="仿宋" w:cs="仿宋"/>
          <w:color w:val="333333"/>
          <w:sz w:val="32"/>
          <w:szCs w:val="32"/>
          <w:lang w:val="en-US" w:eastAsia="zh-CN"/>
        </w:rPr>
        <w:t>17.19万元，占</w:t>
      </w:r>
      <w:r>
        <w:rPr>
          <w:rFonts w:hint="eastAsia" w:ascii="仿宋" w:hAnsi="仿宋" w:eastAsia="仿宋" w:cs="仿宋"/>
          <w:color w:val="333333"/>
          <w:sz w:val="32"/>
          <w:szCs w:val="32"/>
          <w:lang w:val="en-US" w:eastAsia="zh-CN"/>
        </w:rPr>
        <w:t>2.93%。</w:t>
      </w:r>
    </w:p>
    <w:p>
      <w:pPr>
        <w:numPr>
          <w:ilvl w:val="0"/>
          <w:numId w:val="0"/>
        </w:numPr>
        <w:ind w:leftChars="0" w:firstLine="640" w:firstLineChars="200"/>
        <w:jc w:val="left"/>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（三）一般公共预算拨款支出决算具体情况</w:t>
      </w:r>
    </w:p>
    <w:p>
      <w:pPr>
        <w:numPr>
          <w:ilvl w:val="0"/>
          <w:numId w:val="0"/>
        </w:numPr>
        <w:ind w:leftChars="0" w:firstLine="640" w:firstLineChars="200"/>
        <w:jc w:val="left"/>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2019年度一般公共预算拨款支出决算为</w:t>
      </w:r>
      <w:r>
        <w:rPr>
          <w:rFonts w:hint="eastAsia" w:ascii="仿宋" w:hAnsi="仿宋" w:eastAsia="仿宋" w:cs="仿宋"/>
          <w:color w:val="333333"/>
          <w:sz w:val="32"/>
          <w:szCs w:val="32"/>
          <w:lang w:val="en-US" w:eastAsia="zh-CN"/>
        </w:rPr>
        <w:t>585.37万元，按经济分类：工资福利支出</w:t>
      </w:r>
      <w:r>
        <w:rPr>
          <w:rFonts w:hint="eastAsia" w:ascii="仿宋" w:hAnsi="仿宋" w:eastAsia="仿宋" w:cs="仿宋"/>
          <w:color w:val="333333"/>
          <w:sz w:val="32"/>
          <w:szCs w:val="32"/>
          <w:lang w:val="en-US" w:eastAsia="zh-CN"/>
        </w:rPr>
        <w:t>261.72万元，比上年（</w:t>
      </w:r>
      <w:r>
        <w:rPr>
          <w:rFonts w:hint="eastAsia" w:ascii="仿宋" w:hAnsi="仿宋" w:eastAsia="仿宋" w:cs="仿宋"/>
          <w:color w:val="333333"/>
          <w:sz w:val="32"/>
          <w:szCs w:val="32"/>
          <w:lang w:val="en-US" w:eastAsia="zh-CN"/>
        </w:rPr>
        <w:t>264.77万元）减少1.15%。商品和服务支出</w:t>
      </w:r>
      <w:r>
        <w:rPr>
          <w:rFonts w:hint="eastAsia" w:ascii="仿宋" w:hAnsi="仿宋" w:eastAsia="仿宋" w:cs="仿宋"/>
          <w:color w:val="333333"/>
          <w:sz w:val="32"/>
          <w:szCs w:val="32"/>
          <w:lang w:val="en-US" w:eastAsia="zh-CN"/>
        </w:rPr>
        <w:t>27.54万元，比上年（</w:t>
      </w:r>
      <w:r>
        <w:rPr>
          <w:rFonts w:hint="eastAsia" w:ascii="仿宋" w:hAnsi="仿宋" w:eastAsia="仿宋" w:cs="仿宋"/>
          <w:color w:val="333333"/>
          <w:sz w:val="32"/>
          <w:szCs w:val="32"/>
          <w:lang w:val="en-US" w:eastAsia="zh-CN"/>
        </w:rPr>
        <w:t>32.20万元）减少</w:t>
      </w:r>
      <w:r>
        <w:rPr>
          <w:rFonts w:hint="eastAsia" w:ascii="仿宋" w:hAnsi="仿宋" w:eastAsia="仿宋" w:cs="仿宋"/>
          <w:color w:val="333333"/>
          <w:sz w:val="32"/>
          <w:szCs w:val="32"/>
          <w:lang w:val="en-US" w:eastAsia="zh-CN"/>
        </w:rPr>
        <w:t>14.48%。对个人和家庭的补助</w:t>
      </w:r>
      <w:r>
        <w:rPr>
          <w:rFonts w:hint="eastAsia" w:ascii="仿宋" w:hAnsi="仿宋" w:eastAsia="仿宋" w:cs="仿宋"/>
          <w:color w:val="333333"/>
          <w:sz w:val="32"/>
          <w:szCs w:val="32"/>
          <w:lang w:val="en-US" w:eastAsia="zh-CN"/>
        </w:rPr>
        <w:t>19.40万元，比上年（</w:t>
      </w:r>
      <w:r>
        <w:rPr>
          <w:rFonts w:hint="eastAsia" w:ascii="仿宋" w:hAnsi="仿宋" w:eastAsia="仿宋" w:cs="仿宋"/>
          <w:color w:val="333333"/>
          <w:sz w:val="32"/>
          <w:szCs w:val="32"/>
          <w:lang w:val="en-US" w:eastAsia="zh-CN"/>
        </w:rPr>
        <w:t>9.71万元）增加99.79%。项目支出2</w:t>
      </w:r>
      <w:r>
        <w:rPr>
          <w:rFonts w:hint="eastAsia" w:ascii="仿宋" w:hAnsi="仿宋" w:eastAsia="仿宋" w:cs="仿宋"/>
          <w:color w:val="333333"/>
          <w:sz w:val="32"/>
          <w:szCs w:val="32"/>
          <w:lang w:val="en-US" w:eastAsia="zh-CN"/>
        </w:rPr>
        <w:t>76.71万元。</w:t>
      </w:r>
    </w:p>
    <w:p>
      <w:pPr>
        <w:numPr>
          <w:ilvl w:val="0"/>
          <w:numId w:val="0"/>
        </w:numPr>
        <w:ind w:leftChars="0"/>
        <w:jc w:val="left"/>
        <w:rPr>
          <w:rFonts w:hint="eastAsia" w:ascii="楷体" w:hAnsi="楷体" w:eastAsia="楷体" w:cs="楷体"/>
          <w:sz w:val="32"/>
        </w:rPr>
      </w:pPr>
    </w:p>
    <w:p>
      <w:pPr>
        <w:numPr>
          <w:ilvl w:val="0"/>
          <w:numId w:val="0"/>
        </w:numPr>
        <w:ind w:leftChars="0"/>
        <w:jc w:val="left"/>
        <w:rPr>
          <w:rFonts w:hint="eastAsia" w:ascii="楷体" w:hAnsi="楷体" w:eastAsia="楷体" w:cs="楷体"/>
          <w:sz w:val="32"/>
        </w:rPr>
      </w:pPr>
    </w:p>
    <w:p>
      <w:pPr>
        <w:numPr>
          <w:ilvl w:val="0"/>
          <w:numId w:val="5"/>
        </w:numPr>
        <w:jc w:val="left"/>
        <w:rPr>
          <w:rFonts w:hint="eastAsia" w:ascii="楷体" w:hAnsi="楷体" w:eastAsia="楷体" w:cs="楷体"/>
          <w:sz w:val="32"/>
        </w:rPr>
      </w:pPr>
      <w:r>
        <w:rPr>
          <w:rFonts w:hint="eastAsia" w:ascii="楷体" w:hAnsi="楷体" w:eastAsia="楷体" w:cs="楷体"/>
          <w:sz w:val="32"/>
        </w:rPr>
        <w:t xml:space="preserve">一般公共预算财政拨款基本支出决算情况说明 </w:t>
      </w:r>
    </w:p>
    <w:p>
      <w:pPr>
        <w:pStyle w:val="4"/>
        <w:keepNext w:val="0"/>
        <w:keepLines w:val="0"/>
        <w:widowControl/>
        <w:suppressLineNumbers w:val="0"/>
        <w:spacing w:before="300" w:beforeAutospacing="0" w:after="0" w:afterAutospacing="0" w:line="600" w:lineRule="atLeast"/>
        <w:ind w:left="0" w:right="0" w:firstLine="640"/>
        <w:jc w:val="both"/>
        <w:rPr>
          <w:rFonts w:ascii="Calibri" w:hAnsi="Calibri" w:cs="Calibri"/>
          <w:sz w:val="21"/>
          <w:szCs w:val="21"/>
        </w:rPr>
      </w:pPr>
      <w:r>
        <w:rPr>
          <w:rFonts w:hint="eastAsia" w:ascii="楷体" w:hAnsi="楷体" w:eastAsia="楷体" w:cs="楷体"/>
          <w:sz w:val="32"/>
          <w:lang w:val="en-US" w:eastAsia="zh-CN"/>
        </w:rPr>
        <w:t xml:space="preserve"> </w:t>
      </w:r>
      <w:r>
        <w:rPr>
          <w:rFonts w:ascii="仿宋" w:hAnsi="仿宋" w:eastAsia="仿宋" w:cs="仿宋"/>
          <w:color w:val="333333"/>
          <w:sz w:val="32"/>
          <w:szCs w:val="32"/>
        </w:rPr>
        <w:t>2019年度一般公共预算财政拨款基本支出</w:t>
      </w:r>
      <w:r>
        <w:rPr>
          <w:rFonts w:hint="eastAsia" w:ascii="仿宋" w:hAnsi="仿宋" w:eastAsia="仿宋" w:cs="仿宋"/>
          <w:color w:val="333333"/>
          <w:sz w:val="32"/>
          <w:szCs w:val="32"/>
          <w:lang w:val="en-US" w:eastAsia="zh-CN"/>
        </w:rPr>
        <w:t>308.66</w:t>
      </w:r>
      <w:r>
        <w:rPr>
          <w:rFonts w:ascii="仿宋" w:hAnsi="仿宋" w:eastAsia="仿宋" w:cs="仿宋"/>
          <w:color w:val="333333"/>
          <w:sz w:val="32"/>
          <w:szCs w:val="32"/>
        </w:rPr>
        <w:t>万元。其中: 人员经费2</w:t>
      </w:r>
      <w:r>
        <w:rPr>
          <w:rFonts w:hint="eastAsia" w:ascii="仿宋" w:hAnsi="仿宋" w:eastAsia="仿宋" w:cs="仿宋"/>
          <w:color w:val="333333"/>
          <w:sz w:val="32"/>
          <w:szCs w:val="32"/>
          <w:lang w:val="en-US" w:eastAsia="zh-CN"/>
        </w:rPr>
        <w:t>81.12</w:t>
      </w:r>
      <w:r>
        <w:rPr>
          <w:rFonts w:ascii="仿宋" w:hAnsi="仿宋" w:eastAsia="仿宋" w:cs="仿宋"/>
          <w:color w:val="333333"/>
          <w:sz w:val="32"/>
          <w:szCs w:val="32"/>
        </w:rPr>
        <w:t>万元，主要包括：按国家规定支出的</w:t>
      </w:r>
      <w:r>
        <w:rPr>
          <w:rFonts w:hint="eastAsia" w:ascii="仿宋" w:hAnsi="仿宋" w:eastAsia="仿宋" w:cs="仿宋"/>
          <w:color w:val="333333"/>
          <w:sz w:val="32"/>
          <w:szCs w:val="32"/>
          <w:lang w:eastAsia="zh-CN"/>
        </w:rPr>
        <w:t>基本工资、津贴补贴、奖金、伙食补助费、机关事业单位基本养老保险缴费、职工基本医疗保险缴费、其他社会保障缴费、住房公积金、退休费、生活补助、奖励金、其他对个人和家庭的补助</w:t>
      </w:r>
      <w:r>
        <w:rPr>
          <w:rFonts w:ascii="仿宋" w:hAnsi="仿宋" w:eastAsia="仿宋" w:cs="仿宋"/>
          <w:color w:val="333333"/>
          <w:sz w:val="32"/>
          <w:szCs w:val="32"/>
        </w:rPr>
        <w:t>；公用经费</w:t>
      </w:r>
      <w:r>
        <w:rPr>
          <w:rFonts w:hint="eastAsia" w:ascii="仿宋" w:hAnsi="仿宋" w:eastAsia="仿宋" w:cs="仿宋"/>
          <w:color w:val="333333"/>
          <w:sz w:val="32"/>
          <w:szCs w:val="32"/>
          <w:lang w:val="en-US" w:eastAsia="zh-CN"/>
        </w:rPr>
        <w:t>27.54</w:t>
      </w:r>
      <w:r>
        <w:rPr>
          <w:rFonts w:ascii="仿宋" w:hAnsi="仿宋" w:eastAsia="仿宋" w:cs="仿宋"/>
          <w:color w:val="333333"/>
          <w:sz w:val="32"/>
          <w:szCs w:val="32"/>
        </w:rPr>
        <w:t>万元，主要包括：办公费、</w:t>
      </w:r>
      <w:r>
        <w:rPr>
          <w:rFonts w:hint="eastAsia" w:ascii="仿宋" w:hAnsi="仿宋" w:eastAsia="仿宋" w:cs="仿宋"/>
          <w:color w:val="333333"/>
          <w:sz w:val="32"/>
          <w:szCs w:val="32"/>
          <w:lang w:eastAsia="zh-CN"/>
        </w:rPr>
        <w:t>电费</w:t>
      </w:r>
      <w:r>
        <w:rPr>
          <w:rFonts w:ascii="仿宋" w:hAnsi="仿宋" w:eastAsia="仿宋" w:cs="仿宋"/>
          <w:color w:val="333333"/>
          <w:sz w:val="32"/>
          <w:szCs w:val="32"/>
        </w:rPr>
        <w:t>、</w:t>
      </w:r>
      <w:r>
        <w:rPr>
          <w:rFonts w:hint="eastAsia" w:ascii="仿宋" w:hAnsi="仿宋" w:eastAsia="仿宋" w:cs="仿宋"/>
          <w:color w:val="333333"/>
          <w:sz w:val="32"/>
          <w:szCs w:val="32"/>
          <w:lang w:eastAsia="zh-CN"/>
        </w:rPr>
        <w:t>差旅费、工会经费、其他交通费用</w:t>
      </w:r>
      <w:r>
        <w:rPr>
          <w:rFonts w:ascii="仿宋" w:hAnsi="仿宋" w:eastAsia="仿宋" w:cs="仿宋"/>
          <w:color w:val="333333"/>
          <w:sz w:val="32"/>
          <w:szCs w:val="32"/>
        </w:rPr>
        <w:t>。</w:t>
      </w:r>
    </w:p>
    <w:p>
      <w:pPr>
        <w:numPr>
          <w:ilvl w:val="0"/>
          <w:numId w:val="0"/>
        </w:numPr>
        <w:jc w:val="left"/>
        <w:rPr>
          <w:rFonts w:hint="eastAsia" w:ascii="楷体" w:hAnsi="楷体" w:eastAsia="楷体" w:cs="楷体"/>
          <w:sz w:val="32"/>
          <w:lang w:val="en-US" w:eastAsia="zh-CN"/>
        </w:rPr>
      </w:pPr>
    </w:p>
    <w:p>
      <w:pPr>
        <w:numPr>
          <w:ilvl w:val="0"/>
          <w:numId w:val="5"/>
        </w:numPr>
        <w:ind w:left="0" w:leftChars="0" w:firstLine="0" w:firstLineChars="0"/>
        <w:jc w:val="left"/>
        <w:rPr>
          <w:rFonts w:ascii="楷体" w:hAnsi="楷体" w:eastAsia="楷体" w:cs="楷体"/>
          <w:sz w:val="32"/>
        </w:rPr>
      </w:pPr>
      <w:r>
        <w:rPr>
          <w:rFonts w:ascii="楷体" w:hAnsi="楷体" w:eastAsia="楷体" w:cs="楷体"/>
          <w:sz w:val="32"/>
        </w:rPr>
        <w:t>政府性基金预算财政拨款支出决算情况说明</w:t>
      </w:r>
    </w:p>
    <w:p>
      <w:pPr>
        <w:pStyle w:val="4"/>
        <w:keepNext w:val="0"/>
        <w:keepLines w:val="0"/>
        <w:widowControl/>
        <w:suppressLineNumbers w:val="0"/>
        <w:spacing w:before="300" w:beforeAutospacing="0" w:after="0" w:afterAutospacing="0" w:line="600" w:lineRule="atLeast"/>
        <w:ind w:right="0" w:firstLine="640" w:firstLineChars="200"/>
        <w:jc w:val="both"/>
        <w:rPr>
          <w:rFonts w:ascii="Calibri" w:hAnsi="Calibri" w:cs="Calibri"/>
          <w:sz w:val="21"/>
          <w:szCs w:val="21"/>
        </w:rPr>
      </w:pPr>
      <w:r>
        <w:rPr>
          <w:rFonts w:hint="eastAsia" w:ascii="楷体" w:hAnsi="楷体" w:eastAsia="楷体" w:cs="楷体"/>
          <w:sz w:val="32"/>
          <w:lang w:val="en-US" w:eastAsia="zh-CN"/>
        </w:rPr>
        <w:t xml:space="preserve"> </w:t>
      </w:r>
      <w:r>
        <w:rPr>
          <w:rFonts w:ascii="仿宋" w:hAnsi="仿宋" w:eastAsia="仿宋" w:cs="仿宋"/>
          <w:color w:val="333333"/>
          <w:sz w:val="32"/>
          <w:szCs w:val="32"/>
        </w:rPr>
        <w:t>2019年本单位没有使用政府性基金预算拨款安排的支出。</w:t>
      </w:r>
    </w:p>
    <w:p>
      <w:pPr>
        <w:numPr>
          <w:ilvl w:val="0"/>
          <w:numId w:val="0"/>
        </w:numPr>
        <w:ind w:leftChars="0"/>
        <w:jc w:val="left"/>
        <w:rPr>
          <w:rFonts w:hint="default" w:ascii="楷体" w:hAnsi="楷体" w:eastAsia="楷体" w:cs="楷体"/>
          <w:sz w:val="32"/>
          <w:lang w:val="en-US" w:eastAsia="zh-CN"/>
        </w:rPr>
      </w:pPr>
    </w:p>
    <w:p>
      <w:pPr>
        <w:numPr>
          <w:ilvl w:val="0"/>
          <w:numId w:val="5"/>
        </w:numPr>
        <w:ind w:left="0" w:leftChars="0" w:firstLine="0" w:firstLineChars="0"/>
        <w:jc w:val="left"/>
        <w:rPr>
          <w:rFonts w:hint="eastAsia" w:ascii="楷体" w:hAnsi="楷体" w:eastAsia="楷体" w:cs="楷体"/>
          <w:sz w:val="32"/>
        </w:rPr>
      </w:pPr>
      <w:r>
        <w:rPr>
          <w:rFonts w:hint="eastAsia" w:ascii="楷体" w:hAnsi="楷体" w:eastAsia="楷体" w:cs="楷体"/>
          <w:sz w:val="32"/>
        </w:rPr>
        <w:t>一般公共预算财政拨款“三公”经费支出决算情况说明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firstLine="640" w:firstLineChars="200"/>
        <w:jc w:val="left"/>
        <w:rPr>
          <w:highlight w:val="none"/>
        </w:rPr>
      </w:pPr>
      <w:r>
        <w:rPr>
          <w:rFonts w:ascii="楷体" w:hAnsi="楷体" w:eastAsia="楷体" w:cs="楷体"/>
          <w:color w:val="333333"/>
          <w:kern w:val="2"/>
          <w:sz w:val="32"/>
          <w:szCs w:val="32"/>
          <w:highlight w:val="none"/>
          <w:bdr w:val="none" w:color="auto" w:sz="0" w:space="0"/>
          <w:lang w:val="en-US" w:eastAsia="zh-CN" w:bidi="ar"/>
        </w:rPr>
        <w:t>（一）</w:t>
      </w:r>
      <w:r>
        <w:rPr>
          <w:rFonts w:hint="eastAsia" w:ascii="楷体" w:hAnsi="楷体" w:eastAsia="楷体" w:cs="楷体"/>
          <w:color w:val="333333"/>
          <w:kern w:val="2"/>
          <w:sz w:val="32"/>
          <w:szCs w:val="32"/>
          <w:highlight w:val="none"/>
          <w:bdr w:val="none" w:color="auto" w:sz="0" w:space="0"/>
          <w:lang w:val="en-US" w:eastAsia="zh-CN" w:bidi="ar"/>
        </w:rPr>
        <w:t>“三公”经费财政拨款支出决算总体情况说明。</w:t>
      </w:r>
    </w:p>
    <w:p>
      <w:pPr>
        <w:numPr>
          <w:ilvl w:val="0"/>
          <w:numId w:val="0"/>
        </w:numPr>
        <w:ind w:leftChars="0" w:firstLine="640"/>
        <w:jc w:val="left"/>
        <w:rPr>
          <w:rFonts w:hint="eastAsia" w:ascii="仿宋" w:hAnsi="仿宋" w:eastAsia="仿宋" w:cs="仿宋"/>
          <w:color w:val="333333"/>
          <w:kern w:val="0"/>
          <w:sz w:val="32"/>
          <w:szCs w:val="32"/>
          <w:highlight w:val="none"/>
          <w:lang w:val="en-US" w:eastAsia="zh-CN" w:bidi="ar"/>
        </w:rPr>
      </w:pPr>
      <w:r>
        <w:rPr>
          <w:rFonts w:hint="default" w:ascii="仿宋" w:hAnsi="仿宋" w:eastAsia="仿宋" w:cs="仿宋"/>
          <w:color w:val="333333"/>
          <w:kern w:val="0"/>
          <w:sz w:val="32"/>
          <w:szCs w:val="32"/>
          <w:highlight w:val="none"/>
          <w:lang w:val="en-US" w:eastAsia="zh-CN" w:bidi="ar"/>
        </w:rPr>
        <w:t>2019年度</w:t>
      </w:r>
      <w:r>
        <w:rPr>
          <w:rFonts w:hint="eastAsia" w:ascii="仿宋" w:hAnsi="仿宋" w:eastAsia="仿宋" w:cs="仿宋"/>
          <w:color w:val="333333"/>
          <w:kern w:val="0"/>
          <w:sz w:val="32"/>
          <w:szCs w:val="32"/>
          <w:highlight w:val="none"/>
          <w:lang w:val="en-US" w:eastAsia="zh-CN" w:bidi="ar"/>
        </w:rPr>
        <w:t>，本单位</w:t>
      </w:r>
      <w:r>
        <w:rPr>
          <w:rFonts w:hint="default" w:ascii="仿宋" w:hAnsi="仿宋" w:eastAsia="仿宋" w:cs="仿宋"/>
          <w:color w:val="333333"/>
          <w:kern w:val="0"/>
          <w:sz w:val="32"/>
          <w:szCs w:val="32"/>
          <w:highlight w:val="none"/>
          <w:lang w:val="en-US" w:eastAsia="zh-CN" w:bidi="ar"/>
        </w:rPr>
        <w:t>“三公”经费财政拨款支出预算为4万元，支出决算为</w:t>
      </w:r>
      <w:r>
        <w:rPr>
          <w:rFonts w:hint="eastAsia" w:ascii="仿宋" w:hAnsi="仿宋" w:eastAsia="仿宋" w:cs="仿宋"/>
          <w:color w:val="333333"/>
          <w:kern w:val="0"/>
          <w:sz w:val="32"/>
          <w:szCs w:val="32"/>
          <w:highlight w:val="none"/>
          <w:lang w:val="en-US" w:eastAsia="zh-CN" w:bidi="ar"/>
        </w:rPr>
        <w:t>1.35</w:t>
      </w:r>
      <w:r>
        <w:rPr>
          <w:rFonts w:hint="default" w:ascii="仿宋" w:hAnsi="仿宋" w:eastAsia="仿宋" w:cs="仿宋"/>
          <w:color w:val="333333"/>
          <w:kern w:val="0"/>
          <w:sz w:val="32"/>
          <w:szCs w:val="32"/>
          <w:highlight w:val="none"/>
          <w:lang w:val="en-US" w:eastAsia="zh-CN" w:bidi="ar"/>
        </w:rPr>
        <w:t>万元，完成预算的</w:t>
      </w:r>
      <w:r>
        <w:rPr>
          <w:rFonts w:hint="eastAsia" w:ascii="仿宋" w:hAnsi="仿宋" w:eastAsia="仿宋" w:cs="仿宋"/>
          <w:color w:val="333333"/>
          <w:kern w:val="0"/>
          <w:sz w:val="32"/>
          <w:szCs w:val="32"/>
          <w:highlight w:val="none"/>
          <w:lang w:val="en-US" w:eastAsia="zh-CN" w:bidi="ar"/>
        </w:rPr>
        <w:t>33.75</w:t>
      </w:r>
      <w:r>
        <w:rPr>
          <w:rFonts w:hint="default" w:ascii="仿宋" w:hAnsi="仿宋" w:eastAsia="仿宋" w:cs="仿宋"/>
          <w:color w:val="333333"/>
          <w:kern w:val="0"/>
          <w:sz w:val="32"/>
          <w:szCs w:val="32"/>
          <w:highlight w:val="none"/>
          <w:lang w:val="en-US" w:eastAsia="zh-CN" w:bidi="ar"/>
        </w:rPr>
        <w:t>%，其中：因公出国（境）费支出决算为 0万元，完成预算</w:t>
      </w:r>
      <w:r>
        <w:rPr>
          <w:rFonts w:hint="eastAsia" w:ascii="仿宋" w:hAnsi="仿宋" w:eastAsia="仿宋" w:cs="仿宋"/>
          <w:color w:val="333333"/>
          <w:kern w:val="0"/>
          <w:sz w:val="32"/>
          <w:szCs w:val="32"/>
          <w:highlight w:val="none"/>
          <w:lang w:val="en-US" w:eastAsia="zh-CN" w:bidi="ar"/>
        </w:rPr>
        <w:t>（0万元）</w:t>
      </w:r>
      <w:r>
        <w:rPr>
          <w:rFonts w:hint="default" w:ascii="仿宋" w:hAnsi="仿宋" w:eastAsia="仿宋" w:cs="仿宋"/>
          <w:color w:val="333333"/>
          <w:kern w:val="0"/>
          <w:sz w:val="32"/>
          <w:szCs w:val="32"/>
          <w:highlight w:val="none"/>
          <w:lang w:val="en-US" w:eastAsia="zh-CN" w:bidi="ar"/>
        </w:rPr>
        <w:t>的0；公务用车购置及运行费支出决算为</w:t>
      </w:r>
      <w:r>
        <w:rPr>
          <w:rFonts w:hint="eastAsia" w:ascii="仿宋" w:hAnsi="仿宋" w:eastAsia="仿宋" w:cs="仿宋"/>
          <w:color w:val="333333"/>
          <w:kern w:val="0"/>
          <w:sz w:val="32"/>
          <w:szCs w:val="32"/>
          <w:highlight w:val="none"/>
          <w:lang w:val="en-US" w:eastAsia="zh-CN" w:bidi="ar"/>
        </w:rPr>
        <w:t>0</w:t>
      </w:r>
      <w:r>
        <w:rPr>
          <w:rFonts w:hint="default" w:ascii="仿宋" w:hAnsi="仿宋" w:eastAsia="仿宋" w:cs="仿宋"/>
          <w:color w:val="333333"/>
          <w:kern w:val="0"/>
          <w:sz w:val="32"/>
          <w:szCs w:val="32"/>
          <w:highlight w:val="none"/>
          <w:lang w:val="en-US" w:eastAsia="zh-CN" w:bidi="ar"/>
        </w:rPr>
        <w:t>万元，完成预算</w:t>
      </w:r>
      <w:r>
        <w:rPr>
          <w:rFonts w:hint="eastAsia" w:ascii="仿宋" w:hAnsi="仿宋" w:eastAsia="仿宋" w:cs="仿宋"/>
          <w:color w:val="333333"/>
          <w:kern w:val="0"/>
          <w:sz w:val="32"/>
          <w:szCs w:val="32"/>
          <w:highlight w:val="none"/>
          <w:lang w:val="en-US" w:eastAsia="zh-CN" w:bidi="ar"/>
        </w:rPr>
        <w:t>（0万元）</w:t>
      </w:r>
      <w:r>
        <w:rPr>
          <w:rFonts w:hint="default" w:ascii="仿宋" w:hAnsi="仿宋" w:eastAsia="仿宋" w:cs="仿宋"/>
          <w:color w:val="333333"/>
          <w:kern w:val="0"/>
          <w:sz w:val="32"/>
          <w:szCs w:val="32"/>
          <w:highlight w:val="none"/>
          <w:lang w:val="en-US" w:eastAsia="zh-CN" w:bidi="ar"/>
        </w:rPr>
        <w:t>的</w:t>
      </w:r>
      <w:r>
        <w:rPr>
          <w:rFonts w:hint="eastAsia" w:ascii="仿宋" w:hAnsi="仿宋" w:eastAsia="仿宋" w:cs="仿宋"/>
          <w:color w:val="333333"/>
          <w:kern w:val="0"/>
          <w:sz w:val="32"/>
          <w:szCs w:val="32"/>
          <w:highlight w:val="none"/>
          <w:lang w:val="en-US" w:eastAsia="zh-CN" w:bidi="ar"/>
        </w:rPr>
        <w:t>0</w:t>
      </w:r>
      <w:r>
        <w:rPr>
          <w:rFonts w:hint="default" w:ascii="仿宋" w:hAnsi="仿宋" w:eastAsia="仿宋" w:cs="仿宋"/>
          <w:color w:val="333333"/>
          <w:kern w:val="0"/>
          <w:sz w:val="32"/>
          <w:szCs w:val="32"/>
          <w:highlight w:val="none"/>
          <w:lang w:val="en-US" w:eastAsia="zh-CN" w:bidi="ar"/>
        </w:rPr>
        <w:t xml:space="preserve">；公务接待费支出决算为 </w:t>
      </w:r>
      <w:r>
        <w:rPr>
          <w:rFonts w:hint="eastAsia" w:ascii="仿宋" w:hAnsi="仿宋" w:eastAsia="仿宋" w:cs="仿宋"/>
          <w:color w:val="333333"/>
          <w:kern w:val="0"/>
          <w:sz w:val="32"/>
          <w:szCs w:val="32"/>
          <w:highlight w:val="none"/>
          <w:lang w:val="en-US" w:eastAsia="zh-CN" w:bidi="ar"/>
        </w:rPr>
        <w:t>1.35</w:t>
      </w:r>
      <w:r>
        <w:rPr>
          <w:rFonts w:hint="default" w:ascii="仿宋" w:hAnsi="仿宋" w:eastAsia="仿宋" w:cs="仿宋"/>
          <w:color w:val="333333"/>
          <w:kern w:val="0"/>
          <w:sz w:val="32"/>
          <w:szCs w:val="32"/>
          <w:highlight w:val="none"/>
          <w:lang w:val="en-US" w:eastAsia="zh-CN" w:bidi="ar"/>
        </w:rPr>
        <w:t>万元，完成预算</w:t>
      </w:r>
      <w:r>
        <w:rPr>
          <w:rFonts w:hint="eastAsia" w:ascii="仿宋" w:hAnsi="仿宋" w:eastAsia="仿宋" w:cs="仿宋"/>
          <w:color w:val="333333"/>
          <w:kern w:val="0"/>
          <w:sz w:val="32"/>
          <w:szCs w:val="32"/>
          <w:highlight w:val="none"/>
          <w:lang w:val="en-US" w:eastAsia="zh-CN" w:bidi="ar"/>
        </w:rPr>
        <w:t>（4万元）</w:t>
      </w:r>
      <w:r>
        <w:rPr>
          <w:rFonts w:hint="default" w:ascii="仿宋" w:hAnsi="仿宋" w:eastAsia="仿宋" w:cs="仿宋"/>
          <w:color w:val="333333"/>
          <w:kern w:val="0"/>
          <w:sz w:val="32"/>
          <w:szCs w:val="32"/>
          <w:highlight w:val="none"/>
          <w:lang w:val="en-US" w:eastAsia="zh-CN" w:bidi="ar"/>
        </w:rPr>
        <w:t>的</w:t>
      </w:r>
      <w:r>
        <w:rPr>
          <w:rFonts w:hint="eastAsia" w:ascii="仿宋" w:hAnsi="仿宋" w:eastAsia="仿宋" w:cs="仿宋"/>
          <w:color w:val="333333"/>
          <w:kern w:val="0"/>
          <w:sz w:val="32"/>
          <w:szCs w:val="32"/>
          <w:highlight w:val="none"/>
          <w:lang w:val="en-US" w:eastAsia="zh-CN" w:bidi="ar"/>
        </w:rPr>
        <w:t>33.75</w:t>
      </w:r>
      <w:r>
        <w:rPr>
          <w:rFonts w:hint="default" w:ascii="仿宋" w:hAnsi="仿宋" w:eastAsia="仿宋" w:cs="仿宋"/>
          <w:color w:val="333333"/>
          <w:kern w:val="0"/>
          <w:sz w:val="32"/>
          <w:szCs w:val="32"/>
          <w:highlight w:val="none"/>
          <w:lang w:val="en-US" w:eastAsia="zh-CN" w:bidi="ar"/>
        </w:rPr>
        <w:t>%</w:t>
      </w:r>
      <w:r>
        <w:rPr>
          <w:rFonts w:hint="eastAsia" w:ascii="仿宋" w:hAnsi="仿宋" w:eastAsia="仿宋" w:cs="仿宋"/>
          <w:color w:val="333333"/>
          <w:kern w:val="0"/>
          <w:sz w:val="32"/>
          <w:szCs w:val="32"/>
          <w:highlight w:val="none"/>
          <w:lang w:val="en-US" w:eastAsia="zh-CN" w:bidi="ar"/>
        </w:rPr>
        <w:t>，国内公务接待批次93次，人次462人，国（境）外为0</w:t>
      </w:r>
      <w:r>
        <w:rPr>
          <w:rFonts w:hint="default" w:ascii="仿宋" w:hAnsi="仿宋" w:eastAsia="仿宋" w:cs="仿宋"/>
          <w:color w:val="333333"/>
          <w:kern w:val="0"/>
          <w:sz w:val="32"/>
          <w:szCs w:val="32"/>
          <w:highlight w:val="none"/>
          <w:lang w:val="en-US" w:eastAsia="zh-CN" w:bidi="ar"/>
        </w:rPr>
        <w:t>。2019 年度“三公”经费支出决算数小于预算数的主要原因：</w:t>
      </w:r>
      <w:r>
        <w:rPr>
          <w:rFonts w:hint="eastAsia" w:ascii="仿宋" w:hAnsi="仿宋" w:eastAsia="仿宋" w:cs="仿宋"/>
          <w:color w:val="333333"/>
          <w:kern w:val="0"/>
          <w:sz w:val="32"/>
          <w:szCs w:val="32"/>
          <w:highlight w:val="none"/>
          <w:lang w:val="en-US" w:eastAsia="zh-CN" w:bidi="ar"/>
        </w:rPr>
        <w:t>严格执行和落实公务接待流程，严格把关，厉行节约。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firstLine="640" w:firstLineChars="200"/>
        <w:jc w:val="left"/>
        <w:rPr>
          <w:highlight w:val="none"/>
        </w:rPr>
      </w:pPr>
      <w:r>
        <w:rPr>
          <w:rFonts w:ascii="楷体" w:hAnsi="楷体" w:eastAsia="楷体" w:cs="楷体"/>
          <w:color w:val="333333"/>
          <w:kern w:val="2"/>
          <w:sz w:val="32"/>
          <w:szCs w:val="32"/>
          <w:highlight w:val="none"/>
          <w:bdr w:val="none" w:color="auto" w:sz="0" w:space="0"/>
          <w:lang w:val="en-US" w:eastAsia="zh-CN" w:bidi="ar"/>
        </w:rPr>
        <w:t>（二）</w:t>
      </w:r>
      <w:r>
        <w:rPr>
          <w:rFonts w:hint="eastAsia" w:ascii="楷体" w:hAnsi="楷体" w:eastAsia="楷体" w:cs="楷体"/>
          <w:color w:val="333333"/>
          <w:kern w:val="2"/>
          <w:sz w:val="32"/>
          <w:szCs w:val="32"/>
          <w:highlight w:val="none"/>
          <w:bdr w:val="none" w:color="auto" w:sz="0" w:space="0"/>
          <w:lang w:val="en-US" w:eastAsia="zh-CN" w:bidi="ar"/>
        </w:rPr>
        <w:t>“三公”经费财政拨款支出决算具体情况说明。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firstLine="640" w:firstLineChars="200"/>
        <w:jc w:val="left"/>
        <w:rPr>
          <w:rFonts w:hint="default" w:ascii="仿宋" w:hAnsi="仿宋" w:eastAsia="仿宋" w:cs="仿宋"/>
          <w:color w:val="333333"/>
          <w:kern w:val="0"/>
          <w:sz w:val="32"/>
          <w:szCs w:val="32"/>
          <w:highlight w:val="none"/>
          <w:lang w:val="en-US" w:eastAsia="zh-CN" w:bidi="ar"/>
        </w:rPr>
      </w:pPr>
      <w:r>
        <w:rPr>
          <w:rFonts w:ascii="仿宋" w:hAnsi="仿宋" w:eastAsia="仿宋" w:cs="仿宋"/>
          <w:color w:val="333333"/>
          <w:kern w:val="2"/>
          <w:sz w:val="32"/>
          <w:szCs w:val="32"/>
          <w:highlight w:val="none"/>
          <w:bdr w:val="none" w:color="auto" w:sz="0" w:space="0"/>
          <w:lang w:val="en-US" w:eastAsia="zh-CN" w:bidi="ar"/>
        </w:rPr>
        <w:t>201</w:t>
      </w:r>
      <w:r>
        <w:rPr>
          <w:rFonts w:hint="eastAsia" w:ascii="仿宋" w:hAnsi="仿宋" w:eastAsia="仿宋" w:cs="仿宋"/>
          <w:color w:val="333333"/>
          <w:kern w:val="2"/>
          <w:sz w:val="32"/>
          <w:szCs w:val="32"/>
          <w:highlight w:val="none"/>
          <w:bdr w:val="none" w:color="auto" w:sz="0" w:space="0"/>
          <w:lang w:val="en-US" w:eastAsia="zh-CN" w:bidi="ar"/>
        </w:rPr>
        <w:t>9 年度“三公”经费财政拨款支出决算为1.35万元，公务接待费1.35万元，占100%，其中：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ascii="Calibri" w:hAnsi="Calibri" w:cs="Calibri"/>
          <w:i w:val="0"/>
          <w:iCs w:val="0"/>
          <w:caps w:val="0"/>
          <w:color w:val="333333"/>
          <w:spacing w:val="0"/>
          <w:sz w:val="21"/>
          <w:szCs w:val="21"/>
          <w:highlight w:val="none"/>
        </w:rPr>
      </w:pPr>
      <w:r>
        <w:rPr>
          <w:rFonts w:ascii="楷体" w:hAnsi="楷体" w:eastAsia="楷体" w:cs="楷体"/>
          <w:i w:val="0"/>
          <w:iCs w:val="0"/>
          <w:caps w:val="0"/>
          <w:color w:val="333333"/>
          <w:spacing w:val="0"/>
          <w:sz w:val="32"/>
          <w:szCs w:val="32"/>
          <w:highlight w:val="none"/>
          <w:shd w:val="clear" w:fill="FFFFFF"/>
        </w:rPr>
        <w:t>1</w:t>
      </w:r>
      <w:r>
        <w:rPr>
          <w:rFonts w:hint="eastAsia" w:ascii="楷体" w:hAnsi="楷体" w:eastAsia="楷体" w:cs="楷体"/>
          <w:i w:val="0"/>
          <w:iCs w:val="0"/>
          <w:caps w:val="0"/>
          <w:color w:val="333333"/>
          <w:spacing w:val="0"/>
          <w:sz w:val="32"/>
          <w:szCs w:val="32"/>
          <w:highlight w:val="none"/>
          <w:shd w:val="clear" w:fill="FFFFFF"/>
        </w:rPr>
        <w:t>、因公出国（境）情况说明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highlight w:val="none"/>
        </w:rPr>
      </w:pPr>
      <w:r>
        <w:rPr>
          <w:rFonts w:ascii="仿宋" w:hAnsi="仿宋" w:eastAsia="仿宋" w:cs="仿宋"/>
          <w:i w:val="0"/>
          <w:iCs w:val="0"/>
          <w:caps w:val="0"/>
          <w:color w:val="333333"/>
          <w:spacing w:val="0"/>
          <w:sz w:val="32"/>
          <w:szCs w:val="32"/>
          <w:highlight w:val="none"/>
          <w:shd w:val="clear" w:fill="FFFFFF"/>
        </w:rPr>
        <w:t>无因公出国（境）经费。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highlight w:val="none"/>
        </w:rPr>
      </w:pPr>
      <w:r>
        <w:rPr>
          <w:rFonts w:hint="eastAsia" w:ascii="楷体" w:hAnsi="楷体" w:eastAsia="楷体" w:cs="楷体"/>
          <w:i w:val="0"/>
          <w:iCs w:val="0"/>
          <w:caps w:val="0"/>
          <w:color w:val="333333"/>
          <w:spacing w:val="0"/>
          <w:sz w:val="32"/>
          <w:szCs w:val="32"/>
          <w:highlight w:val="none"/>
          <w:shd w:val="clear" w:fill="FFFFFF"/>
        </w:rPr>
        <w:t>2、公务用车购置及运行经费情况说明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t>无公务用车购置支出。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楷体" w:hAnsi="楷体" w:eastAsia="楷体" w:cs="楷体"/>
          <w:i w:val="0"/>
          <w:iCs w:val="0"/>
          <w:caps w:val="0"/>
          <w:color w:val="333333"/>
          <w:spacing w:val="0"/>
          <w:sz w:val="32"/>
          <w:szCs w:val="32"/>
          <w:highlight w:val="none"/>
          <w:shd w:val="clear" w:fill="FFFFFF"/>
        </w:rPr>
      </w:pPr>
      <w:r>
        <w:rPr>
          <w:rFonts w:hint="eastAsia" w:ascii="楷体" w:hAnsi="楷体" w:eastAsia="楷体" w:cs="楷体"/>
          <w:i w:val="0"/>
          <w:iCs w:val="0"/>
          <w:caps w:val="0"/>
          <w:color w:val="333333"/>
          <w:spacing w:val="0"/>
          <w:sz w:val="32"/>
          <w:szCs w:val="32"/>
          <w:highlight w:val="none"/>
          <w:shd w:val="clear" w:fill="FFFFFF"/>
          <w:lang w:val="en-US" w:eastAsia="zh-CN"/>
        </w:rPr>
        <w:t>3、公务接待情况说明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lang w:val="en-US" w:eastAsia="zh-CN"/>
        </w:rPr>
        <w:t>公务接待支出1.35万元，国内公务接待93批（次），接待462人（次）。</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highlight w:val="none"/>
          <w:shd w:val="clear" w:fill="FFFFFF"/>
          <w:lang w:val="en-US" w:eastAsia="zh-CN"/>
        </w:rPr>
      </w:pPr>
    </w:p>
    <w:p>
      <w:pPr>
        <w:numPr>
          <w:ilvl w:val="0"/>
          <w:numId w:val="0"/>
        </w:numPr>
        <w:ind w:leftChars="0" w:firstLine="640"/>
        <w:jc w:val="left"/>
        <w:rPr>
          <w:rFonts w:hint="default" w:ascii="仿宋" w:hAnsi="仿宋" w:eastAsia="仿宋" w:cs="仿宋"/>
          <w:color w:val="333333"/>
          <w:kern w:val="0"/>
          <w:sz w:val="32"/>
          <w:szCs w:val="32"/>
          <w:highlight w:val="none"/>
          <w:lang w:val="en-US" w:eastAsia="zh-CN" w:bidi="ar"/>
        </w:rPr>
      </w:pPr>
    </w:p>
    <w:p>
      <w:pPr>
        <w:numPr>
          <w:ilvl w:val="0"/>
          <w:numId w:val="0"/>
        </w:numPr>
        <w:ind w:leftChars="0" w:firstLine="640"/>
        <w:jc w:val="left"/>
        <w:rPr>
          <w:rFonts w:hint="default" w:ascii="仿宋" w:hAnsi="仿宋" w:eastAsia="仿宋" w:cs="仿宋"/>
          <w:color w:val="333333"/>
          <w:kern w:val="0"/>
          <w:sz w:val="32"/>
          <w:szCs w:val="32"/>
          <w:highlight w:val="none"/>
          <w:lang w:val="en-US" w:eastAsia="zh-CN" w:bidi="ar"/>
        </w:rPr>
      </w:pPr>
    </w:p>
    <w:p>
      <w:pPr>
        <w:numPr>
          <w:ilvl w:val="0"/>
          <w:numId w:val="5"/>
        </w:numPr>
        <w:ind w:left="0" w:leftChars="0" w:firstLine="0" w:firstLineChars="0"/>
        <w:jc w:val="left"/>
        <w:rPr>
          <w:rFonts w:hint="eastAsia" w:ascii="楷体" w:hAnsi="楷体" w:eastAsia="楷体" w:cs="楷体"/>
          <w:sz w:val="32"/>
          <w:highlight w:val="none"/>
        </w:rPr>
      </w:pPr>
      <w:r>
        <w:rPr>
          <w:rFonts w:hint="eastAsia" w:ascii="楷体" w:hAnsi="楷体" w:eastAsia="楷体" w:cs="楷体"/>
          <w:sz w:val="32"/>
          <w:highlight w:val="none"/>
        </w:rPr>
        <w:t>预算绩效情况说明</w:t>
      </w:r>
    </w:p>
    <w:p>
      <w:pPr>
        <w:numPr>
          <w:numId w:val="0"/>
        </w:numPr>
        <w:ind w:leftChars="0"/>
        <w:jc w:val="left"/>
        <w:rPr>
          <w:rFonts w:hint="eastAsia" w:ascii="楷体" w:hAnsi="楷体" w:eastAsia="楷体" w:cs="楷体"/>
          <w:sz w:val="32"/>
          <w:highlight w:val="none"/>
          <w:lang w:val="en-US" w:eastAsia="zh-CN"/>
        </w:rPr>
      </w:pPr>
      <w:r>
        <w:rPr>
          <w:rFonts w:hint="eastAsia" w:ascii="楷体" w:hAnsi="楷体" w:eastAsia="楷体" w:cs="楷体"/>
          <w:sz w:val="32"/>
          <w:highlight w:val="none"/>
          <w:lang w:val="en-US" w:eastAsia="zh-CN"/>
        </w:rPr>
        <w:t xml:space="preserve">   （一）绩效管理工作开展情况。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highlight w:val="none"/>
          <w:shd w:val="clear" w:fill="FFFFFF"/>
          <w:lang w:val="en-US" w:eastAsia="zh-CN"/>
        </w:rPr>
        <w:t>根据市财政局要求，我部以绩效评估为契机，认真对照评估指标，按照年度工作计划扎实推进2019年度预算绩效自评工作。总的来说，2019年我部全体干</w:t>
      </w:r>
      <w:r>
        <w:rPr>
          <w:rFonts w:hint="eastAsia" w:ascii="仿宋" w:hAnsi="仿宋" w:eastAsia="仿宋" w:cs="仿宋"/>
          <w:i w:val="0"/>
          <w:iCs w:val="0"/>
          <w:caps w:val="0"/>
          <w:color w:val="333333"/>
          <w:spacing w:val="0"/>
          <w:sz w:val="32"/>
          <w:szCs w:val="32"/>
          <w:shd w:val="clear" w:fill="FFFFFF"/>
          <w:lang w:val="en-US" w:eastAsia="zh-CN"/>
        </w:rPr>
        <w:t>部职工积极履职、扎实工作，较好完成了全年工作目标。</w:t>
      </w:r>
    </w:p>
    <w:p>
      <w:pPr>
        <w:jc w:val="left"/>
        <w:rPr>
          <w:rFonts w:hint="eastAsia" w:ascii="楷体" w:hAnsi="楷体" w:eastAsia="楷体" w:cs="楷体"/>
          <w:sz w:val="32"/>
        </w:rPr>
      </w:pPr>
      <w:r>
        <w:rPr>
          <w:rFonts w:hint="eastAsia" w:ascii="楷体" w:hAnsi="楷体" w:eastAsia="楷体" w:cs="楷体"/>
          <w:sz w:val="32"/>
        </w:rPr>
        <w:t>（二）部门决算中项目绩效自评结果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总的来说，2019年我单位干部职工积极履职、扎实工作，较好完成了全年工作目标，主要在以下几点：</w:t>
      </w:r>
    </w:p>
    <w:p>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进一步加强了基层党建、班子建设、人才队伍建设，优化了基层党组织建设，增强了党组织战斗力、凝聚力；</w:t>
      </w:r>
    </w:p>
    <w:p>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激励了干部新时代新担当新作为，在全市营造了干事创业的浓厚氛围，为全市经济社会又快又好发展提供了组织保障；</w:t>
      </w:r>
    </w:p>
    <w:p>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实现了干部档案工作的规范化，便于档案的保管和利用；</w:t>
      </w:r>
    </w:p>
    <w:p>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七一期间，表彰了一批优秀共产党员和优秀党务工作者。</w:t>
      </w:r>
    </w:p>
    <w:p>
      <w:pPr>
        <w:jc w:val="left"/>
        <w:rPr>
          <w:rFonts w:hint="eastAsia" w:ascii="楷体" w:hAnsi="楷体" w:eastAsia="楷体" w:cs="楷体"/>
          <w:sz w:val="32"/>
          <w:lang w:val="en-US" w:eastAsia="zh-CN"/>
        </w:rPr>
      </w:pPr>
      <w:r>
        <w:rPr>
          <w:rFonts w:hint="eastAsia" w:ascii="楷体" w:hAnsi="楷体" w:eastAsia="楷体" w:cs="楷体"/>
          <w:sz w:val="32"/>
          <w:lang w:val="en-US" w:eastAsia="zh-CN"/>
        </w:rPr>
        <w:t>（三）以部门为主体开展的重点绩效评价 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项目总体执行情况较好，能按照制定的计划完成，预期的绩效目标的也基本实现，无论是取得的经济效益还是社会效益都有显著成果，工作成果主要表现在：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注重导向激励。树立讲规矩树正气，讲担当比业绩导向，在选人用人上大力使用开拓创新有魄力、推动工作有力度、攻坚克难有担当、实绩实效突出的干部，着力选用在全面深化改革、脱贫攻坚、维护社会稳定中业绩突出的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2019年机构改革工作中，突出政治标准，注重人岗相适，先行摸底、先做研判、先定方案，圆满完成干部选派、人事移交等工作，实现了干部队伍的平稳过渡。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注重制度建设。经多次研究讨论，市委出台《关于全面加强基层建设的二十条措施》,从明职权、畅通道、提待遇、引人才、减负担五个方面着手，让镇村两级有权办事、有力办事、有序办事，让基层干部干事有舞台、干好有激励、发展有空间，让基层干部待遇有保障、收入有增加、条件有改善，励引导人才流向基层、服务基层、创业基层，为基层简政、减负、减压，再一次向全市干部释放了鼓励担当、激励作为的强烈信号；研究制定《沅江市管科级领导干部交流工作规定》，进一步规范科级领导干部交流工作，加强领导班子建设，激励干部干事创业，促进党风廉政建设和机关效能建设，营造风清气正的政治生态；认真落实《益阳市管领导班子和领导干部开展政治建设考察的实施方案》，始终把准践行“两个维护”的根本定位，突出考准考实政治表现的首要任务，紧扣增强政治忠诚、思想自觉、情感认同、行动紧随的核心要求，紧紧围绕深学笃用习近平新时代中国特色社会主义思想，不折不扣贯彻落实习近平总书记对湖南工作提出的“一带一部”“三个着力”“精准扶贫”“守护好一江碧水”等重要指示要求，推动党中央决策部署落地见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注重年轻干部。建立全市年轻后备干部信息库，通过面上谈心“听”情况、实地调研“察”实绩、综合研判“下”结论、相互印证“用”成果，掌握了一批群众认可度高、有发展潜力的优秀年轻干部。把农村一线、扶贫一线、重点项目建设一线、急难险重一线作为年轻干部培养锻炼的主阵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注重日常管理。对全市公务员、参公人员、事企业领导干部进行档案审理，共调查研究年龄、学历、学习经历信息存疑干部档案近百卷。对存疑情况进行了相应的认定。对部分涉嫌档案造假的干部给予了相应处理。根据《沅江市职务与职级并行实施方案》，对符合本次套转的人员进行套转，目前，晋升工作正在有序推进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注重考核问效。建成市管干部信息数据库，提出并完善了“客观指标+主观评价+成绩排名”三分法考核评价体系，将考核结果与干部选拔任用、奖惩、日常管理、能上能下有机结合，以真考真用的“硬考核”，有效激发起干事创业的“强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——注重反向鞭策。建立个人有关事项报告“承诺双责任”制度，党委（党组）书记签字背书承诺履行主体责任，干部监督工作逐步向日常延伸拓展。</w:t>
      </w:r>
    </w:p>
    <w:p>
      <w:pPr>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楷体" w:hAnsi="楷体" w:eastAsia="楷体" w:cs="楷体"/>
          <w:sz w:val="32"/>
          <w:lang w:val="en-US" w:eastAsia="zh-CN"/>
        </w:rPr>
        <w:t>（四）预算绩效情况的说明。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2019年我单位严格按财政预算要求，严格履行财务审批手续，经手人、证明人、审批人、联审章环环相扣，做到了无计划安排不报账。</w:t>
      </w:r>
    </w:p>
    <w:p>
      <w:pPr>
        <w:jc w:val="left"/>
        <w:rPr>
          <w:rFonts w:ascii="楷体" w:hAnsi="楷体" w:eastAsia="楷体" w:cs="楷体"/>
          <w:sz w:val="32"/>
          <w:highlight w:val="green"/>
        </w:rPr>
      </w:pP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320" w:firstLineChars="100"/>
        <w:jc w:val="left"/>
        <w:rPr>
          <w:rFonts w:ascii="楷体" w:hAnsi="楷体" w:eastAsia="楷体" w:cs="楷体"/>
          <w:sz w:val="32"/>
        </w:rPr>
      </w:pPr>
      <w:r>
        <w:rPr>
          <w:rFonts w:hint="eastAsia" w:ascii="仿宋" w:hAnsi="仿宋" w:eastAsia="仿宋" w:cs="仿宋"/>
          <w:sz w:val="32"/>
          <w:lang w:val="en-US" w:eastAsia="zh-CN"/>
        </w:rPr>
        <w:t>（一）预决算收支增减变化情况。</w:t>
      </w:r>
    </w:p>
    <w:p>
      <w:pPr>
        <w:ind w:firstLine="643"/>
        <w:jc w:val="left"/>
        <w:rPr>
          <w:rFonts w:hint="eastAsia" w:ascii="仿宋" w:hAnsi="仿宋" w:eastAsia="仿宋" w:cs="仿宋"/>
          <w:sz w:val="32"/>
        </w:rPr>
      </w:pPr>
      <w:r>
        <w:rPr>
          <w:rFonts w:hint="eastAsia" w:ascii="楷体" w:hAnsi="楷体" w:eastAsia="楷体" w:cs="楷体"/>
          <w:sz w:val="32"/>
          <w:lang w:val="en-US" w:eastAsia="zh-CN"/>
        </w:rPr>
        <w:t xml:space="preserve"> </w:t>
      </w:r>
      <w:r>
        <w:rPr>
          <w:rFonts w:hint="eastAsia" w:ascii="仿宋" w:hAnsi="仿宋" w:eastAsia="仿宋" w:cs="仿宋"/>
          <w:sz w:val="32"/>
        </w:rPr>
        <w:t>年初总预算收支情况：2019年度部门预算数为5443720元。</w:t>
      </w:r>
      <w:r>
        <w:rPr>
          <w:rFonts w:ascii="仿宋" w:hAnsi="仿宋" w:eastAsia="仿宋" w:cs="仿宋"/>
          <w:sz w:val="32"/>
        </w:rPr>
        <w:t xml:space="preserve"> 其中基本支出</w:t>
      </w:r>
      <w:r>
        <w:rPr>
          <w:rFonts w:hint="eastAsia" w:ascii="仿宋" w:hAnsi="仿宋" w:eastAsia="仿宋" w:cs="仿宋"/>
          <w:sz w:val="32"/>
        </w:rPr>
        <w:t>2423720元，</w:t>
      </w:r>
      <w:r>
        <w:rPr>
          <w:rFonts w:ascii="仿宋" w:hAnsi="仿宋" w:eastAsia="仿宋" w:cs="仿宋"/>
          <w:sz w:val="32"/>
        </w:rPr>
        <w:t>项目支出：</w:t>
      </w:r>
      <w:r>
        <w:rPr>
          <w:rFonts w:hint="eastAsia" w:ascii="仿宋" w:hAnsi="仿宋" w:eastAsia="仿宋" w:cs="仿宋"/>
          <w:sz w:val="32"/>
        </w:rPr>
        <w:t>3020000元。</w:t>
      </w:r>
    </w:p>
    <w:p>
      <w:pPr>
        <w:ind w:firstLine="643"/>
        <w:jc w:val="left"/>
        <w:rPr>
          <w:rFonts w:ascii="仿宋" w:hAnsi="仿宋" w:eastAsia="仿宋" w:cs="仿宋"/>
          <w:sz w:val="32"/>
        </w:rPr>
      </w:pPr>
      <w:r>
        <w:rPr>
          <w:rFonts w:hint="eastAsia" w:ascii="仿宋" w:hAnsi="仿宋" w:eastAsia="仿宋" w:cs="仿宋"/>
          <w:sz w:val="32"/>
        </w:rPr>
        <w:t>年度预算收入决算情况：2019年度收入合计6667550元，其中：财政拨款收入6660910万元，占</w:t>
      </w:r>
      <w:r>
        <w:rPr>
          <w:rFonts w:hint="eastAsia" w:ascii="仿宋" w:hAnsi="仿宋" w:eastAsia="仿宋" w:cs="仿宋"/>
          <w:sz w:val="32"/>
          <w:lang w:val="en-US" w:eastAsia="zh-CN"/>
        </w:rPr>
        <w:t>99.90</w:t>
      </w:r>
      <w:r>
        <w:rPr>
          <w:rFonts w:hint="eastAsia" w:ascii="仿宋" w:hAnsi="仿宋" w:eastAsia="仿宋" w:cs="仿宋"/>
          <w:sz w:val="32"/>
        </w:rPr>
        <w:t xml:space="preserve">%。 </w:t>
      </w:r>
    </w:p>
    <w:p>
      <w:pPr>
        <w:ind w:firstLine="643"/>
        <w:jc w:val="left"/>
        <w:rPr>
          <w:rFonts w:hint="eastAsia" w:ascii="仿宋" w:hAnsi="仿宋" w:eastAsia="仿宋" w:cs="仿宋"/>
          <w:sz w:val="32"/>
        </w:rPr>
      </w:pPr>
      <w:r>
        <w:rPr>
          <w:rFonts w:hint="eastAsia" w:ascii="仿宋" w:hAnsi="仿宋" w:eastAsia="仿宋" w:cs="仿宋"/>
          <w:sz w:val="32"/>
        </w:rPr>
        <w:t>年度预算支出决算及结余情况：2019年度一般预算财政拨款收入</w:t>
      </w:r>
      <w:r>
        <w:rPr>
          <w:rFonts w:hint="eastAsia" w:ascii="仿宋" w:hAnsi="仿宋" w:eastAsia="仿宋" w:cs="仿宋"/>
          <w:sz w:val="32"/>
          <w:lang w:val="en-US" w:eastAsia="zh-CN"/>
        </w:rPr>
        <w:t>6660910</w:t>
      </w:r>
      <w:r>
        <w:rPr>
          <w:rFonts w:hint="eastAsia" w:ascii="仿宋" w:hAnsi="仿宋" w:eastAsia="仿宋" w:cs="仿宋"/>
          <w:sz w:val="32"/>
        </w:rPr>
        <w:t>元，</w:t>
      </w:r>
      <w:r>
        <w:rPr>
          <w:rFonts w:hint="eastAsia" w:ascii="仿宋" w:hAnsi="仿宋" w:eastAsia="仿宋" w:cs="仿宋"/>
          <w:sz w:val="32"/>
          <w:lang w:eastAsia="zh-CN"/>
        </w:rPr>
        <w:t>其他收入</w:t>
      </w:r>
      <w:r>
        <w:rPr>
          <w:rFonts w:hint="eastAsia" w:ascii="仿宋" w:hAnsi="仿宋" w:eastAsia="仿宋" w:cs="仿宋"/>
          <w:sz w:val="32"/>
          <w:lang w:val="en-US" w:eastAsia="zh-CN"/>
        </w:rPr>
        <w:t>6640元，</w:t>
      </w:r>
      <w:r>
        <w:rPr>
          <w:rFonts w:hint="eastAsia" w:ascii="仿宋" w:hAnsi="仿宋" w:eastAsia="仿宋" w:cs="仿宋"/>
          <w:sz w:val="32"/>
        </w:rPr>
        <w:t>支出5853747.94元，上年结余</w:t>
      </w:r>
      <w:r>
        <w:rPr>
          <w:rFonts w:hint="eastAsia" w:ascii="仿宋" w:hAnsi="仿宋" w:eastAsia="仿宋" w:cs="仿宋"/>
          <w:sz w:val="32"/>
          <w:lang w:val="en-US" w:eastAsia="zh-CN"/>
        </w:rPr>
        <w:t>677327.74</w:t>
      </w:r>
      <w:r>
        <w:rPr>
          <w:rFonts w:hint="eastAsia" w:ascii="仿宋" w:hAnsi="仿宋" w:eastAsia="仿宋" w:cs="仿宋"/>
          <w:sz w:val="32"/>
        </w:rPr>
        <w:t>元，累计结余</w:t>
      </w:r>
      <w:r>
        <w:rPr>
          <w:rFonts w:hint="eastAsia" w:ascii="仿宋" w:hAnsi="仿宋" w:eastAsia="仿宋" w:cs="仿宋"/>
          <w:sz w:val="32"/>
          <w:lang w:val="en-US" w:eastAsia="zh-CN"/>
        </w:rPr>
        <w:t>1491129.80</w:t>
      </w:r>
      <w:r>
        <w:rPr>
          <w:rFonts w:hint="eastAsia" w:ascii="仿宋" w:hAnsi="仿宋" w:eastAsia="仿宋" w:cs="仿宋"/>
          <w:sz w:val="32"/>
        </w:rPr>
        <w:t>元。</w:t>
      </w:r>
    </w:p>
    <w:p>
      <w:pPr>
        <w:ind w:firstLine="643"/>
        <w:jc w:val="left"/>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（二）机关运行经费支出情况。</w:t>
      </w:r>
    </w:p>
    <w:p>
      <w:pPr>
        <w:ind w:firstLine="643"/>
        <w:jc w:val="left"/>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本部门2019年度机关运行经费支出27.54万元，较上年（32.20万元）减少4.66万元，减少14.47%，主要原因是：厉行节约。</w:t>
      </w:r>
    </w:p>
    <w:p>
      <w:pPr>
        <w:ind w:firstLine="643"/>
        <w:jc w:val="left"/>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（三）政府采购支出情况说明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sz w:val="32"/>
          <w:highlight w:val="none"/>
          <w:lang w:val="en-US" w:eastAsia="zh-CN"/>
        </w:rPr>
      </w:pPr>
      <w:r>
        <w:rPr>
          <w:rFonts w:hint="eastAsia" w:ascii="仿宋" w:hAnsi="仿宋" w:eastAsia="仿宋" w:cs="仿宋"/>
          <w:i w:val="0"/>
          <w:iCs w:val="0"/>
          <w:caps w:val="0"/>
          <w:color w:val="333333"/>
          <w:spacing w:val="0"/>
          <w:sz w:val="32"/>
          <w:szCs w:val="32"/>
          <w:highlight w:val="none"/>
          <w:shd w:val="clear" w:fill="FFFFFF"/>
          <w:lang w:val="en-US" w:eastAsia="zh-CN"/>
        </w:rPr>
        <w:t>无政府采购支出。</w:t>
      </w:r>
    </w:p>
    <w:p>
      <w:pPr>
        <w:ind w:firstLine="643"/>
        <w:jc w:val="left"/>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（四）国有资产占用情况。</w:t>
      </w:r>
    </w:p>
    <w:p>
      <w:pPr>
        <w:ind w:firstLine="643"/>
        <w:jc w:val="left"/>
        <w:rPr>
          <w:rFonts w:hint="eastAsia" w:ascii="仿宋" w:hAnsi="仿宋" w:eastAsia="仿宋" w:cs="仿宋"/>
          <w:sz w:val="32"/>
          <w:highlight w:val="none"/>
          <w:lang w:val="en-US" w:eastAsia="zh-CN"/>
        </w:rPr>
      </w:pPr>
      <w:r>
        <w:rPr>
          <w:rFonts w:hint="eastAsia" w:ascii="仿宋" w:hAnsi="仿宋" w:eastAsia="仿宋" w:cs="仿宋"/>
          <w:sz w:val="32"/>
          <w:highlight w:val="none"/>
          <w:lang w:val="en-US" w:eastAsia="zh-CN"/>
        </w:rPr>
        <w:t>截至2019年12月31日，本部门共有车辆0辆，其中，领导干部用车0辆、一般公务用车0辆、一般执法执勤用车0辆、特种专业技术用车0辆、其他用车0辆；单位价值50万元以上通用设备0台(套)，单价100万元以上专用设备0台(套）。</w:t>
      </w:r>
    </w:p>
    <w:p>
      <w:pPr>
        <w:ind w:firstLine="640"/>
        <w:jc w:val="left"/>
        <w:rPr>
          <w:rFonts w:hint="eastAsia" w:ascii="方正仿宋简体" w:hAnsi="方正仿宋简体" w:eastAsia="方正仿宋简体" w:cs="方正仿宋简体"/>
          <w:sz w:val="32"/>
          <w:szCs w:val="32"/>
          <w:highlight w:val="none"/>
          <w:lang w:val="en-US" w:eastAsia="zh-CN"/>
        </w:rPr>
      </w:pPr>
    </w:p>
    <w:p>
      <w:pPr>
        <w:ind w:firstLine="640"/>
        <w:jc w:val="left"/>
        <w:rPr>
          <w:rFonts w:hint="eastAsia" w:ascii="方正仿宋简体" w:hAnsi="方正仿宋简体" w:eastAsia="方正仿宋简体" w:cs="方正仿宋简体"/>
          <w:sz w:val="32"/>
          <w:szCs w:val="32"/>
          <w:highlight w:val="none"/>
        </w:rPr>
      </w:pPr>
    </w:p>
    <w:p>
      <w:pPr>
        <w:ind w:firstLine="640"/>
        <w:jc w:val="left"/>
        <w:rPr>
          <w:rFonts w:hint="default" w:ascii="方正仿宋简体" w:hAnsi="方正仿宋简体" w:eastAsia="方正仿宋简体" w:cs="方正仿宋简体"/>
          <w:sz w:val="32"/>
          <w:szCs w:val="32"/>
          <w:highlight w:val="none"/>
          <w:lang w:val="en-US" w:eastAsia="zh-CN"/>
        </w:rPr>
      </w:pPr>
    </w:p>
    <w:p>
      <w:pPr>
        <w:ind w:firstLine="640"/>
        <w:jc w:val="left"/>
        <w:rPr>
          <w:rFonts w:ascii="楷体" w:hAnsi="楷体" w:eastAsia="楷体" w:cs="楷体"/>
          <w:sz w:val="32"/>
          <w:highlight w:val="none"/>
        </w:rPr>
      </w:pPr>
    </w:p>
    <w:p>
      <w:pPr>
        <w:ind w:firstLine="640"/>
        <w:jc w:val="left"/>
        <w:rPr>
          <w:rFonts w:ascii="楷体" w:hAnsi="楷体" w:eastAsia="楷体" w:cs="楷体"/>
          <w:sz w:val="32"/>
          <w:highlight w:val="none"/>
        </w:rPr>
      </w:pPr>
    </w:p>
    <w:p>
      <w:pPr>
        <w:rPr>
          <w:rFonts w:ascii="黑体" w:hAnsi="黑体" w:eastAsia="黑体" w:cs="黑体"/>
          <w:sz w:val="32"/>
          <w:highlight w:val="none"/>
        </w:rPr>
      </w:pPr>
      <w:r>
        <w:rPr>
          <w:rFonts w:ascii="黑体" w:hAnsi="黑体" w:eastAsia="黑体" w:cs="黑体"/>
          <w:sz w:val="32"/>
          <w:highlight w:val="none"/>
        </w:rPr>
        <w:t>第四部分 名词解释</w:t>
      </w:r>
    </w:p>
    <w:p>
      <w:pPr>
        <w:ind w:firstLine="643"/>
        <w:jc w:val="left"/>
        <w:rPr>
          <w:rFonts w:ascii="仿宋" w:hAnsi="仿宋" w:eastAsia="仿宋" w:cs="仿宋"/>
          <w:b/>
          <w:sz w:val="32"/>
          <w:highlight w:val="none"/>
        </w:rPr>
      </w:pPr>
    </w:p>
    <w:p>
      <w:pPr>
        <w:ind w:firstLine="643"/>
        <w:jc w:val="left"/>
        <w:rPr>
          <w:rFonts w:ascii="仿宋" w:hAnsi="仿宋" w:eastAsia="仿宋" w:cs="仿宋"/>
          <w:sz w:val="32"/>
          <w:highlight w:val="none"/>
        </w:rPr>
      </w:pPr>
      <w:r>
        <w:rPr>
          <w:rFonts w:ascii="仿宋" w:hAnsi="仿宋" w:eastAsia="仿宋" w:cs="仿宋"/>
          <w:b/>
          <w:sz w:val="32"/>
          <w:highlight w:val="none"/>
        </w:rPr>
        <w:t>一、财政拨款收入：</w:t>
      </w:r>
      <w:r>
        <w:rPr>
          <w:rFonts w:ascii="仿宋" w:hAnsi="仿宋" w:eastAsia="仿宋" w:cs="仿宋"/>
          <w:sz w:val="32"/>
          <w:highlight w:val="none"/>
        </w:rPr>
        <w:t xml:space="preserve">指中央财政当年拨付的资金。 </w:t>
      </w:r>
    </w:p>
    <w:p>
      <w:pPr>
        <w:ind w:firstLine="643"/>
        <w:jc w:val="left"/>
        <w:rPr>
          <w:rFonts w:ascii="仿宋" w:hAnsi="仿宋" w:eastAsia="仿宋" w:cs="仿宋"/>
          <w:sz w:val="32"/>
          <w:highlight w:val="none"/>
        </w:rPr>
      </w:pPr>
      <w:r>
        <w:rPr>
          <w:rFonts w:ascii="仿宋" w:hAnsi="仿宋" w:eastAsia="仿宋" w:cs="仿宋"/>
          <w:b/>
          <w:sz w:val="32"/>
          <w:highlight w:val="none"/>
        </w:rPr>
        <w:t>二、事业收入：</w:t>
      </w:r>
      <w:r>
        <w:rPr>
          <w:rFonts w:ascii="仿宋" w:hAnsi="仿宋" w:eastAsia="仿宋" w:cs="仿宋"/>
          <w:sz w:val="32"/>
          <w:highlight w:val="none"/>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highlight w:val="none"/>
        </w:rPr>
      </w:pPr>
      <w:r>
        <w:rPr>
          <w:rFonts w:ascii="仿宋" w:hAnsi="仿宋" w:eastAsia="仿宋" w:cs="仿宋"/>
          <w:b/>
          <w:sz w:val="32"/>
          <w:highlight w:val="none"/>
        </w:rPr>
        <w:t>三、经营收入：</w:t>
      </w:r>
      <w:r>
        <w:rPr>
          <w:rFonts w:ascii="仿宋" w:hAnsi="仿宋" w:eastAsia="仿宋" w:cs="仿宋"/>
          <w:sz w:val="32"/>
          <w:highlight w:val="none"/>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highlight w:val="none"/>
        </w:rPr>
      </w:pPr>
      <w:r>
        <w:rPr>
          <w:rFonts w:ascii="仿宋" w:hAnsi="仿宋" w:eastAsia="仿宋" w:cs="仿宋"/>
          <w:b/>
          <w:sz w:val="32"/>
          <w:highlight w:val="none"/>
        </w:rPr>
        <w:t>四、其他收入：</w:t>
      </w:r>
      <w:r>
        <w:rPr>
          <w:rFonts w:ascii="仿宋" w:hAnsi="仿宋" w:eastAsia="仿宋" w:cs="仿宋"/>
          <w:sz w:val="32"/>
          <w:highlight w:val="none"/>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highlight w:val="none"/>
        </w:rPr>
        <w:t>五、用事业基金弥补收支差额</w:t>
      </w:r>
      <w:r>
        <w:rPr>
          <w:rFonts w:ascii="仿宋" w:hAnsi="仿宋" w:eastAsia="仿宋" w:cs="仿宋"/>
          <w:b/>
          <w:sz w:val="32"/>
        </w:rPr>
        <w:t>：</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rPr>
          <w:rFonts w:ascii="黑体" w:hAnsi="黑体" w:eastAsia="黑体" w:cs="黑体"/>
          <w:sz w:val="32"/>
        </w:rPr>
      </w:pPr>
    </w:p>
    <w:p>
      <w:pPr>
        <w:numPr>
          <w:ilvl w:val="0"/>
          <w:numId w:val="0"/>
        </w:numPr>
        <w:rPr>
          <w:rFonts w:hint="default" w:ascii="黑体" w:hAnsi="黑体" w:eastAsia="黑体" w:cs="黑体"/>
          <w:sz w:val="32"/>
          <w:lang w:val="en-US" w:eastAsia="zh-CN"/>
        </w:rPr>
      </w:pPr>
    </w:p>
    <w:sectPr>
      <w:headerReference r:id="rId3"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iconfont">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44DEDE"/>
    <w:multiLevelType w:val="singleLevel"/>
    <w:tmpl w:val="9244DEDE"/>
    <w:lvl w:ilvl="0" w:tentative="0">
      <w:start w:val="3"/>
      <w:numFmt w:val="chineseCounting"/>
      <w:suff w:val="nothing"/>
      <w:lvlText w:val="%1、"/>
      <w:lvlJc w:val="left"/>
      <w:rPr>
        <w:rFonts w:hint="eastAsia"/>
      </w:rPr>
    </w:lvl>
  </w:abstractNum>
  <w:abstractNum w:abstractNumId="1">
    <w:nsid w:val="DA140249"/>
    <w:multiLevelType w:val="singleLevel"/>
    <w:tmpl w:val="DA140249"/>
    <w:lvl w:ilvl="0" w:tentative="0">
      <w:start w:val="1"/>
      <w:numFmt w:val="chineseCounting"/>
      <w:suff w:val="space"/>
      <w:lvlText w:val="第%1部分"/>
      <w:lvlJc w:val="left"/>
      <w:rPr>
        <w:rFonts w:hint="eastAsia"/>
      </w:rPr>
    </w:lvl>
  </w:abstractNum>
  <w:abstractNum w:abstractNumId="2">
    <w:nsid w:val="21C7D00E"/>
    <w:multiLevelType w:val="singleLevel"/>
    <w:tmpl w:val="21C7D00E"/>
    <w:lvl w:ilvl="0" w:tentative="0">
      <w:start w:val="2"/>
      <w:numFmt w:val="chineseCounting"/>
      <w:suff w:val="nothing"/>
      <w:lvlText w:val="%1、"/>
      <w:lvlJc w:val="left"/>
      <w:rPr>
        <w:rFonts w:hint="eastAsia"/>
      </w:rPr>
    </w:lvl>
  </w:abstractNum>
  <w:abstractNum w:abstractNumId="3">
    <w:nsid w:val="35A19F4E"/>
    <w:multiLevelType w:val="singleLevel"/>
    <w:tmpl w:val="35A19F4E"/>
    <w:lvl w:ilvl="0" w:tentative="0">
      <w:start w:val="6"/>
      <w:numFmt w:val="chineseCounting"/>
      <w:suff w:val="nothing"/>
      <w:lvlText w:val="%1、"/>
      <w:lvlJc w:val="left"/>
      <w:rPr>
        <w:rFonts w:hint="eastAsia"/>
      </w:rPr>
    </w:lvl>
  </w:abstractNum>
  <w:abstractNum w:abstractNumId="4">
    <w:nsid w:val="55F81F1E"/>
    <w:multiLevelType w:val="singleLevel"/>
    <w:tmpl w:val="55F81F1E"/>
    <w:lvl w:ilvl="0" w:tentative="0">
      <w:start w:val="2"/>
      <w:numFmt w:val="chineseCounting"/>
      <w:suff w:val="space"/>
      <w:lvlText w:val="第%1部分"/>
      <w:lvlJc w:val="left"/>
      <w:rPr>
        <w:rFonts w:hint="eastAsia"/>
      </w:rPr>
    </w:lvl>
  </w:abstractNum>
  <w:abstractNum w:abstractNumId="5">
    <w:nsid w:val="60D43D50"/>
    <w:multiLevelType w:val="singleLevel"/>
    <w:tmpl w:val="60D43D50"/>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06C75574"/>
    <w:rsid w:val="09DD464C"/>
    <w:rsid w:val="0AF75F7C"/>
    <w:rsid w:val="10DF19DC"/>
    <w:rsid w:val="2B324AED"/>
    <w:rsid w:val="2F757F8C"/>
    <w:rsid w:val="3BE45237"/>
    <w:rsid w:val="43E12344"/>
    <w:rsid w:val="46D30998"/>
    <w:rsid w:val="48BE3CA7"/>
    <w:rsid w:val="4A9F2701"/>
    <w:rsid w:val="4D9068F6"/>
    <w:rsid w:val="4DED4AB9"/>
    <w:rsid w:val="4E495C87"/>
    <w:rsid w:val="54FF1C72"/>
    <w:rsid w:val="57565C4C"/>
    <w:rsid w:val="57FD44AD"/>
    <w:rsid w:val="5C646402"/>
    <w:rsid w:val="5EBA52F6"/>
    <w:rsid w:val="62825FAF"/>
    <w:rsid w:val="6AAF279A"/>
    <w:rsid w:val="73B535AD"/>
    <w:rsid w:val="7C296052"/>
    <w:rsid w:val="7E455597"/>
    <w:rsid w:val="7E56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22"/>
    <w:rPr>
      <w:sz w:val="24"/>
      <w:szCs w:val="24"/>
    </w:rPr>
  </w:style>
  <w:style w:type="character" w:styleId="7">
    <w:name w:val="FollowedHyperlink"/>
    <w:basedOn w:val="5"/>
    <w:unhideWhenUsed/>
    <w:qFormat/>
    <w:uiPriority w:val="99"/>
    <w:rPr>
      <w:color w:val="333333"/>
      <w:u w:val="none"/>
    </w:rPr>
  </w:style>
  <w:style w:type="character" w:styleId="8">
    <w:name w:val="Emphasis"/>
    <w:basedOn w:val="5"/>
    <w:qFormat/>
    <w:uiPriority w:val="20"/>
    <w:rPr>
      <w:sz w:val="24"/>
      <w:szCs w:val="24"/>
    </w:rPr>
  </w:style>
  <w:style w:type="character" w:styleId="9">
    <w:name w:val="Hyperlink"/>
    <w:basedOn w:val="5"/>
    <w:unhideWhenUsed/>
    <w:qFormat/>
    <w:uiPriority w:val="99"/>
    <w:rPr>
      <w:color w:val="0000FF" w:themeColor="hyperlink"/>
      <w:u w:val="single"/>
      <w14:textFill>
        <w14:solidFill>
          <w14:schemeClr w14:val="hlink"/>
        </w14:solidFill>
      </w14:textFill>
    </w:rPr>
  </w:style>
  <w:style w:type="character" w:customStyle="1" w:styleId="11">
    <w:name w:val="页眉 Char"/>
    <w:basedOn w:val="5"/>
    <w:link w:val="3"/>
    <w:semiHidden/>
    <w:qFormat/>
    <w:uiPriority w:val="99"/>
    <w:rPr>
      <w:sz w:val="18"/>
      <w:szCs w:val="18"/>
    </w:rPr>
  </w:style>
  <w:style w:type="character" w:customStyle="1" w:styleId="12">
    <w:name w:val="页脚 Char"/>
    <w:basedOn w:val="5"/>
    <w:link w:val="2"/>
    <w:semiHidden/>
    <w:qFormat/>
    <w:uiPriority w:val="99"/>
    <w:rPr>
      <w:sz w:val="18"/>
      <w:szCs w:val="18"/>
    </w:rPr>
  </w:style>
  <w:style w:type="character" w:customStyle="1" w:styleId="13">
    <w:name w:val="before1"/>
    <w:basedOn w:val="5"/>
    <w:qFormat/>
    <w:uiPriority w:val="0"/>
    <w:rPr>
      <w:bdr w:val="single" w:color="0466C7" w:sz="36" w:space="0"/>
    </w:rPr>
  </w:style>
  <w:style w:type="character" w:customStyle="1" w:styleId="14">
    <w:name w:val="bsharetext"/>
    <w:basedOn w:val="5"/>
    <w:qFormat/>
    <w:uiPriority w:val="0"/>
  </w:style>
  <w:style w:type="character" w:customStyle="1" w:styleId="15">
    <w:name w:val="font71"/>
    <w:basedOn w:val="5"/>
    <w:qFormat/>
    <w:uiPriority w:val="0"/>
    <w:rPr>
      <w:rFonts w:hint="default" w:ascii="Times New Roman" w:hAnsi="Times New Roman" w:cs="Times New Roman"/>
      <w:color w:val="000000"/>
      <w:sz w:val="20"/>
      <w:szCs w:val="20"/>
      <w:u w:val="none"/>
    </w:rPr>
  </w:style>
  <w:style w:type="character" w:customStyle="1" w:styleId="16">
    <w:name w:val="font81"/>
    <w:basedOn w:val="5"/>
    <w:qFormat/>
    <w:uiPriority w:val="0"/>
    <w:rPr>
      <w:rFonts w:hint="eastAsia" w:ascii="宋体" w:hAnsi="宋体" w:eastAsia="宋体" w:cs="宋体"/>
      <w:color w:val="000000"/>
      <w:sz w:val="20"/>
      <w:szCs w:val="20"/>
      <w:u w:val="none"/>
    </w:rPr>
  </w:style>
  <w:style w:type="character" w:customStyle="1" w:styleId="17">
    <w:name w:val="before"/>
    <w:basedOn w:val="5"/>
    <w:qFormat/>
    <w:uiPriority w:val="0"/>
    <w:rPr>
      <w:bdr w:val="single" w:color="0466C7" w:sz="36" w:space="0"/>
    </w:rPr>
  </w:style>
  <w:style w:type="character" w:customStyle="1" w:styleId="18">
    <w:name w:val="wx-space"/>
    <w:basedOn w:val="5"/>
    <w:uiPriority w:val="0"/>
  </w:style>
  <w:style w:type="character" w:customStyle="1" w:styleId="19">
    <w:name w:val="wx-space1"/>
    <w:basedOn w:val="5"/>
    <w:uiPriority w:val="0"/>
  </w:style>
  <w:style w:type="character" w:customStyle="1" w:styleId="20">
    <w:name w:val="hover14"/>
    <w:basedOn w:val="5"/>
    <w:uiPriority w:val="0"/>
    <w:rPr>
      <w:color w:val="000000"/>
      <w:shd w:val="clear" w:fill="FFFFFF"/>
    </w:rPr>
  </w:style>
  <w:style w:type="character" w:customStyle="1" w:styleId="21">
    <w:name w:val="hover15"/>
    <w:basedOn w:val="5"/>
    <w:uiPriority w:val="0"/>
    <w:rPr>
      <w:color w:val="000000"/>
      <w:shd w:val="clear" w:fill="FFFFFF"/>
    </w:rPr>
  </w:style>
  <w:style w:type="character" w:customStyle="1" w:styleId="22">
    <w:name w:val="hover"/>
    <w:basedOn w:val="5"/>
    <w:uiPriority w:val="0"/>
    <w:rPr>
      <w:color w:val="00000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ScaleCrop>false</ScaleCrop>
  <LinksUpToDate>false</LinksUpToDate>
  <CharactersWithSpaces>4156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LENOVO</cp:lastModifiedBy>
  <dcterms:modified xsi:type="dcterms:W3CDTF">2021-06-24T07:58:59Z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DD5A911D54F34B90A82FD2977BC8D1EF</vt:lpwstr>
  </property>
</Properties>
</file>