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市机关事务中心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/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/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/>
      </w: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 </w:t>
      </w: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00007a87" w:usb1="80000000" w:usb2="00000008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方正小标宋_GBK">
    <w:altName w:val="微软雅黑"/>
    <w:charset w:val="00"/>
    <w:family w:val="auto"/>
    <w:panose1 w:val="00000000000000000000"/>
    <w:pitch w:val="default"/>
    <w:sig w:usb0="00000000" w:usb1="00000000" w:usb2="00000000" w:usb3="00000000" w:csb0="00000000" w:csb1="00000000"/>
  </w:font>
  <w:font w:name="Calibri">
    <w:altName w:val="Calibri"/>
    <w:charset w:val="00"/>
    <w:family w:val="swiss"/>
    <w:panose1 w:val="020f0502020204030204"/>
    <w:pitch w:val="default"/>
    <w:sig w:usb0="a00002ef" w:usb1="4000207b" w:usb2="00000000" w:usb3="00000000" w:csb0="2000009f" w:csb1="00000000"/>
  </w:font>
  <w:font w:name="仿宋">
    <w:altName w:val="仿宋"/>
    <w:charset w:val="86"/>
    <w:family w:val="modern"/>
    <w:panose1 w:val="02010609060101010101"/>
    <w:pitch w:val="default"/>
    <w:sig w:usb0="800002bf" w:usb1="38cf7cfa" w:usb2="00000016" w:usb3="00000000" w:csb0="00040001" w:csb1="00000000"/>
  </w:font>
  <w:font w:name="黑体">
    <w:altName w:val="黑体"/>
    <w:charset w:val="86"/>
    <w:family w:val="auto"/>
    <w:panose1 w:val="02010600030101010101"/>
    <w:pitch w:val="default"/>
    <w:sig w:usb0="800002bf" w:usb1="38cf7cfa" w:usb2="00000016" w:usb3="00000000" w:csb0="00040001" w:csb1="00000000"/>
  </w:font>
  <w:font w:name="楷体">
    <w:altName w:val="楷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_GB2312">
    <w:altName w:val="楷体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Times New Roman">
    <w:altName w:val="Times New Roman"/>
    <w:charset w:val="cc"/>
    <w:family w:val="roman"/>
    <w:panose1 w:val="02020603050405020304"/>
    <w:pitch w:val="default"/>
    <w:sig w:usb0="00007a87" w:usb1="80000000" w:usb2="00000008" w:usb3="00000000" w:csb0="400001ff" w:csb1="00000000"/>
  </w:font>
  <w:font w:name="Arial">
    <w:altName w:val="Arial"/>
    <w:charset w:val="01"/>
    <w:family w:val="swiss"/>
    <w:panose1 w:val="020b0604020202020204"/>
    <w:pitch w:val="default"/>
    <w:sig w:usb0="00007a87" w:usb1="80000000" w:usb2="00000008" w:usb3="00000000" w:csb0="400001ff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de06c659"/>
    <w:multiLevelType w:val="singleLevel"/>
    <w:tmpl w:val="de06c659"/>
    <w:lvl w:ilvl="0">
      <w:start w:val="2"/>
      <w:numFmt w:val="chineseCounting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1">
    <w:nsid w:val="7872aa2e"/>
    <w:multiLevelType w:val="singleLevel"/>
    <w:tmpl w:val="7872aa2e"/>
    <w:lvl w:ilvl="0">
      <w:start w:val="2"/>
      <w:numFmt w:val="decimal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zoom w:percent="12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eastAsia="宋体"/>
      </w:rPr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/>
        <w:rFonts w:eastAsia="宋体"/>
      </w:rPr>
      <w:ind w:left="0" w:right="0"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/>
      <w:rFonts w:eastAsia="宋体"/>
    </w:rPr>
  </w:style>
  <w:style w:type="paragraph" w:styleId="179">
    <w:name w:val="179"/>
    <w:basedOn w:val="Normal"/>
    <w:next w:val="179"/>
    <w:link w:val="Normal"/>
    <w:pPr>
      <w:ind w:firstLine="420" w:firstLineChars="200"/>
      <w:jc w:val="both"/>
      <w:textAlignment w:val="baseline"/>
    </w:p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市委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编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办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（一）</w:t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>工作职责</w:t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市委机构编制委员会办公室是市委机构编制委员会的常设办事机构，承担市委编委日常工作，作为市委工作机关，归口组织部管理。主要职责：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(1)贯彻执行党中央、省委、益阳市委、沅江市委和市委编委关于机构编制工作的政策法规制度，拟订全市机构编制管理规范性文件并组织实施，落实机构编制法定化要求。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(2)拟订全市机构改革、事业单位改革、行政体制改革方案草案，经批准后组织实施。    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(3)承担全市各级党委、人大、政府、政协、监委机关、工商联、群众团体机关和事业单位机构编制管理的具体组织实施工作。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(4)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承担全市各部门职能配置及调整工作，协调部门之间、部门与镇（街道）之间职责分工；审核机关事业单位职能配置、内设机构和人员编制规定（简称“三定”规定）；审定股级事业单位机构编制事项。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(5)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科级（含副科级，下同）机构设置和调整及科级领导职数设置和调整等审核报批工作；审核全市股级事业单位设置；审定全市科级机构的内设机构、股级事业单位调整、股级领导职数在限额内的设置和调整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(6)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承担全市行政编制、事业编制总量管理工作。拟订全市行政事业编制总量控制和分配方案；拟订机关事业单位行政事业编制分配和调整方案。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(7)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承担全市机构编制实名制管理工作，审核纳入市级财政统一发放工资的机关事业单位人员编制性质、数量、实有人数和领导职数；会同有关部门健全完善机构编制、人员与财政预算相结合管理机制。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(8)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拟订全市事业单位登记管理的规范性文件并组织实施；依法对事业单位进行登记管理；指导、协调和监督全市事业单位登记管理工作；承担市本级机关群团组织统一社会信用代码赋码工作。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(9)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对全市各级各部门执行机构编制政策法规、机构改革方案、“三定”规定情况的监督检查和评估工作；受理违反机构编制管理规定问题的举报，会同有关部门查处机构编制违法违纪行为；承担全市机构编制统计、网上名称管理工作；指导全市机构编制系统信息化建设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(10)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完成市委、市委编委交办的其他任务。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（二）部门预算单位构成。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市委编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办内设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办公室、登记管理股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个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职能科室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核定行政编制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7人，实有职工5人。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（三）部门预算人员构成。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截止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年1月，我办纳入预算编制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人，其中：公务员及参公人员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人；离退休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二、预算情况说明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（一）预算编制情况。按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年预算总收入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。其中：一般公共预算拨款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纳入公共预算管理的非税拨款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万元，政府性基金拨款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万元，纳入专户管理的非税收入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万元，事业单位经营收入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万元，其他收入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收入较去年减少24.78千元，主要是根据市委要求，全市单位财政专项预算整体缩减。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支出预算：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年单位预算支出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按支出项目类分：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，分别为：人员经费支出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(含)，公用经费支出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按支出功能科目分：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行政运行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418.42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2013102一般行政管理事务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2210201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住房公积金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38.69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按支出经济科目分：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工资福利支出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年全年收支预算平衡。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2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其他重要事项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机关运行经费执行情况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年单位的机关运行经费当年一般公共预算拨款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元，比20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24.78千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降幅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3.12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%。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原因为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“三公”经费情况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年，我办“三公”经费预算数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，其中：公务接待费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其中：公务接待费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10千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元，公务用车购置费用0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元，公务用车运行维护费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政府采购情况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年我办安排政府采购预算0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shd w:color="auto" w:val="clear" w:fill="FFFFFF"/>
        <w:ind w:leftChars="0" w:rightChars="0" w:left="630" w:right="0"/>
        <w:spacing w:line="540" w:after="0" w:before="0" w:lineRule="atLeast"/>
        <w:jc w:val="both"/>
        <w:textAlignment w:val="baseline"/>
        <w:numPr>
          <w:ilvl w:val="0"/>
          <w:numId w:val="0"/>
        </w:numPr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4.国有资产占用使用情况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截止201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9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年12月3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日，我单位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无公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有车辆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预算绩效评估情况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2020年度，我办整体支出和项目支出实行绩效目标管理，纳入2020年部门整体支出绩效目标的金额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千元，其中，基本支出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p>
      <w:pPr>
        <w:pStyle w:val="Normal"/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idowControl/>
        <w:wordWrap/>
        <w:snapToGrid w:val="0"/>
        <w:ind w:firstLine="640" w:left="0" w:firstLineChars="200"/>
        <w:spacing w:line="560" w:lineRule="exact"/>
        <w:jc w:val="left"/>
        <w:textAlignment w:val="auto"/>
      </w:pP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三</w:t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、名词解释</w:t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>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560" w:firstLineChars="200"/>
        <w:jc w:val="left"/>
        <w:textAlignment w:val="auto"/>
      </w:pP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>　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．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　　2．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treport/opRecord.xml>p_0(0);
</file>