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ind w:leftChars="0" w:rightChars="0" w:left="0" w:firstLineChars="0" w:right="0"/>
        <w:spacing w:line="240" w:after="0" w:before="0" w:lineRule="auto"/>
        <w:jc w:val="center"/>
        <w:textAlignment w:val="baseline"/>
      </w:pPr>
      <w:r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t xml:space="preserve"/>
      </w:r>
      <w:r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t xml:space="preserve"/>
      </w:r>
      <w:r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lang w:val="en-US" w:eastAsia="zh-CN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lang w:val="en-US" w:eastAsia="zh-CN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lang w:val="en-US" w:eastAsia="zh-CN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/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/>
      </w:r>
      <w:r>
        <w:rPr>
          <w:rStyle w:val="NormalCharacter"/>
          <w:szCs w:val="30"/>
          <w:sz w:val="30"/>
          <w:rFonts w:ascii="仿宋" w:eastAsia="仿宋" w:hAnsi="仿宋"/>
        </w:rPr>
        <w:tab xml:space="preserve"/>
      </w:r>
      <w:r>
        <w:rPr>
          <w:rStyle w:val="NormalCharacter"/>
          <w:szCs w:val="30"/>
          <w:sz w:val="30"/>
          <w:rFonts w:ascii="仿宋" w:eastAsia="仿宋" w:hAnsi="仿宋"/>
        </w:rPr>
        <w:t xml:space="preserve"/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      沅江市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公安局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交通警察大队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Arial" w:cs="Arial" w:hAnsi="Arial"/>
          <w:color w:val="000000"/>
        </w:rPr>
        <w:t xml:space="preserve">2020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年部门预算说明</w:t>
      </w: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　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80" w:firstLineChars="150"/>
        <w:spacing w:line="560" w:after="100" w:before="100" w:lineRule="atLeast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80" w:firstLineChars="15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根据湖南省财政厅部门预算公开的相关要求，现将沅江市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公安局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交通警察大队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2020年部门预算编制说明如下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：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widowControl/>
        <w:shd w:color="auto" w:val="clear" w:fill="FFFFFF"/>
        <w:framePr w:outlineLvl="0"/>
        <w:ind w:hanging="720" w:left="1200"/>
        <w:spacing w:line="560" w:after="100" w:before="100" w:lineRule="atLeast"/>
        <w:jc w:val="left"/>
        <w:textAlignment w:val="baseline"/>
        <w:numPr>
          <w:ilvl w:val="0"/>
          <w:numId w:val="1"/>
        </w:numPr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工作职责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ind w:firstLine="600" w:firstLineChars="200"/>
        <w:jc w:val="both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沅江市公安局交通警察大队主要职能是负责全市道路交通管理工作。宣传贯彻执行道路交通管理法律法规，指挥疏导交通，维护道路交通秩序，预防和处理道路交通事故，组织开展交通安全秩序整顿，管理机动车辆和驾驶人，担负交通警卫，依法查处交通违法，打击交通肇事犯罪，处置突发性交通事件，规划、建设、管理道路安全设施，促进道路交通安全管理规范化、法制化、社会化，保障全市道路交通有序、安全、畅通，维护社会政治稳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0"/>
        <w:ind w:firstLine="472" w:firstLineChars="147"/>
        <w:spacing w:line="560" w:after="100" w:before="10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二、部门预算单位构成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宋体" w:cs="宋体" w:eastAsia="仿宋" w:hAnsi="宋体"/>
          <w:color w:val="000000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ind w:firstLine="420"/>
        <w:spacing w:line="520" w:lineRule="atLeast"/>
        <w:jc w:val="left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根据编委核定，我大队内设机构为九队一所，即综合指导中队、法制宣传中队、秩序管理中队、事故预防与处理中队、科技设施与视频侦查中队、一中队、二中队、三中队、四中队、车辆管理所。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全部纳入2020年部门预算编制范围。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仿宋" w:hAnsi="宋体"/>
          <w:color w:val="000000"/>
        </w:rPr>
        <w:t xml:space="preserve"> 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widowControl/>
        <w:framePr w:outlineLvl="0"/>
        <w:ind w:firstLine="420"/>
        <w:spacing w:line="52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三、部门预算人员构成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ind w:firstLine="640" w:firstLineChars="20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截止2019年12月（预算编制时间），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我局纳入部门预算编制 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94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人。其中：实有在职民警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78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人，离退休人员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16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人，遗属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2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0"/>
        <w:ind w:firstLine="472" w:firstLineChars="147"/>
        <w:spacing w:line="560" w:after="100" w:before="10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四、2020年收支预算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555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1"/>
        <w:ind w:firstLine="555"/>
        <w:spacing w:line="560" w:after="100" w:before="10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（一）收入预算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ind w:firstLine="640" w:firstLineChars="2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2020年单位预算收入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3211.944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上级财政补助收入：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124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万元，其他收入0万元。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收入较去年增加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1321.461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原因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是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城建投单位性质发生改变，不再承担行政单位建设，沅江市公安局交通警察大队增加了980万元车管所建设项目专项跟240万红绿灯等交通安全设施建设专项。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1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　　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（二）支出预算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28" w:left="14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1、按支出项目类别分：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1161.944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966.944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万元，其中: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专项商品和服务支出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万元，主要用于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执法办案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等方面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2、按支出功能分类股目：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公安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897.988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一般行政管理事务（公安）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2040220执法办案2174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住房公积金68.956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3、按支出经济分类股目：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965.924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对个人和家庭的补助支出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1.02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57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1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　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（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三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）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一般公用预算拨款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支出预算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28" w:left="14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一般公用预算拨款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1、按支出项目类别分：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1161.944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966.944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万元，其中: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专项商品和服务支出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万元，主要用于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执法办案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等方面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2、按支出功能分类股目：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公安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897.988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一般行政管理事务（公安）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2040220执法办案2174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住房公积金68.956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3、按支出经济分类股目：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965.924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对个人和家庭的补助支出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1.02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57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2020年全年收支预算平衡。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widowControl/>
        <w:shd w:color="auto" w:val="clear" w:fill="FFFFFF"/>
        <w:framePr w:outlineLvl="0"/>
        <w:ind w:firstLine="472" w:firstLineChars="147"/>
        <w:spacing w:line="560" w:after="100" w:before="100" w:lineRule="atLeast"/>
        <w:jc w:val="left"/>
        <w:textAlignment w:val="baseline"/>
        <w:numPr>
          <w:ilvl w:val="0"/>
          <w:numId w:val="2"/>
        </w:numPr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640" w:firstLineChars="200"/>
        <w:jc w:val="both"/>
        <w:textAlignment w:val="baseline"/>
        <w:numPr>
          <w:ilvl w:val="0"/>
          <w:numId w:val="3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ind w:firstLine="6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万元，比2019年预算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增加5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增加2.63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增加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在职人数增加。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jc w:val="both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color w:val="333333"/>
        </w:rPr>
        <w:t xml:space="preserve">  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（二）“三公”经费情况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ind w:firstLine="640" w:firstLineChars="2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2020年，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我局“三公”经费财政拨款预算数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154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万元，其中：公务接待费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万元，公务用车购置及运行维护费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140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万元，与上年持平。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320" w:firstLineChars="1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（三）政府采购情况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ind w:firstLine="480" w:firstLineChars="15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2020年，我单位安排政府采购预算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358.105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万元，主要用于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更换警车、购买警务通、执法办案等专项支出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等。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480" w:firstLineChars="15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（四）国有资产占用使用情况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   截止2019年12月30日，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我单位共有车辆27辆，电脑，专用设备，警用物资等等，资产净值共计704.1万元。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480" w:firstLineChars="15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（五）预算绩效评价情况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24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2020年度，本部门整体支出和项目支出实行绩效目标管理，纳入2020年部门整体支出绩效目标的金额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1161.944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宋体" w:hAnsi="宋体"/>
        </w:rPr>
        <w:widowControl/>
        <w:framePr w:outlineLvl="0"/>
        <w:ind w:firstLine="643" w:firstLineChars="200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六、名词解释</w:t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hAnsi="宋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vAlign w:val="top"/>
      <w:type w:val="nextPage"/>
      <w:pgSz w:h="16838" w:w="11906" w:orient="portrait"/>
      <w:pgMar w:gutter="0" w:header="851" w:top="1440" w:bottom="1440" w:footer="992" w:left="1083" w:right="1083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Arial">
    <w:altName w:val="Arial"/>
    <w:charset w:val="00"/>
    <w:family w:val="swiss"/>
    <w:panose1 w:val="020b0604020202020204"/>
    <w:pitch w:val="default"/>
    <w:sig w:usb0="e0002eff" w:usb1="c000785b" w:usb2="00000009" w:usb3="00000000" w:csb0="400001ff" w:csb1="00000000"/>
  </w:font>
  <w:font w:name="仿宋_GB2312">
    <w:altName w:val="仿宋"/>
    <w:charset w:val="86"/>
    <w:family w:val="modern"/>
    <w:panose1 w:val="02010609030101010101"/>
    <w:pitch w:val="default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3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header3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1f4c5e4b"/>
    <w:multiLevelType w:val="multilevel"/>
    <w:tmpl w:val="1f4c5e4b"/>
    <w:lvl w:ilvl="0">
      <w:start w:val="1"/>
      <w:numFmt w:val="japaneseCounting"/>
      <w:suff w:val="tab"/>
      <w:lvlText w:val="%1、"/>
      <w:lvlJc w:val="left"/>
      <w:pPr>
        <w:pStyle w:val="Normal"/>
        <w:widowControl/>
        <w:ind w:hanging="720" w:left="120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132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74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21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58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300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342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84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4260"/>
        <w:textAlignment w:val="baseline"/>
      </w:pPr>
      <w:rPr>
        <w:rStyle w:val="NormalCharacter"/>
      </w:r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basedOn w:val="NormalCharacter"/>
    <w:next w:val="UserStyle_0"/>
    <w:link w:val="Normal"/>
  </w:style>
  <w:style w:type="character" w:styleId="UserStyle_1">
    <w:name w:val="UserStyle_1"/>
    <w:basedOn w:val="NormalCharacter"/>
    <w:next w:val="UserStyle_1"/>
    <w:link w:val="Header"/>
    <w:rPr>
      <w:szCs w:val="18"/>
      <w:sz w:val="18"/>
      <w:kern w:val="2"/>
    </w:rPr>
  </w:style>
  <w:style w:type="character" w:styleId="UserStyle_2">
    <w:name w:val="UserStyle_2"/>
    <w:basedOn w:val="NormalCharacter"/>
    <w:next w:val="UserStyle_2"/>
    <w:link w:val="Footer"/>
    <w:rPr>
      <w:szCs w:val="18"/>
      <w:sz w:val="18"/>
      <w:kern w:val="2"/>
    </w:rPr>
  </w:style>
  <w:style w:type="character" w:styleId="Strong">
    <w:name w:val="Strong"/>
    <w:basedOn w:val="NormalCharacter"/>
    <w:next w:val="Strong"/>
    <w:link w:val="Normal"/>
    <w:rPr>
      <w:b/>
      <w:bCs/>
      <w:rFonts w:cs="Times New Roman"/>
    </w:rPr>
  </w:style>
  <w:style w:type="paragraph" w:styleId="UserStyle_3">
    <w:name w:val="UserStyle_3"/>
    <w:next w:val="UserStyle_3"/>
    <w:link w:val="Normal"/>
    <w:pPr>
      <w:rPr>
        <w:szCs w:val="20"/>
        <w:sz w:val="20"/>
      </w:rPr>
      <w:widowControl/>
      <w:ind w:leftChars="400"/>
      <w:textAlignment w:val="baseline"/>
    </w:pPr>
    <w:rPr>
      <w:szCs w:val="20"/>
      <w:sz w:val="20"/>
    </w:rPr>
  </w:style>
  <w:style w:type="paragraph" w:styleId="TOC2">
    <w:name w:val="TOC2"/>
    <w:basedOn w:val="Normal"/>
    <w:next w:val="Normal"/>
    <w:link w:val="Normal"/>
    <w:pPr>
      <w:ind w:leftChars="200" w:left="420"/>
      <w:jc w:val="both"/>
      <w:textAlignment w:val="baseline"/>
    </w:pPr>
  </w:style>
  <w:style w:type="paragraph" w:styleId="UserStyle_4">
    <w:name w:val="UserStyle_4"/>
    <w:next w:val="UserStyle_4"/>
    <w:link w:val="Normal"/>
    <w:pPr>
      <w:rPr>
        <w:szCs w:val="20"/>
        <w:sz w:val="20"/>
      </w:rPr>
      <w:widowControl/>
      <w:ind w:leftChars="0"/>
      <w:textAlignment w:val="baseline"/>
    </w:pPr>
    <w:rPr>
      <w:szCs w:val="20"/>
      <w:sz w:val="20"/>
    </w:rPr>
  </w:style>
  <w:style w:type="paragraph" w:styleId="TOC3">
    <w:name w:val="TOC3"/>
    <w:basedOn w:val="Normal"/>
    <w:next w:val="Normal"/>
    <w:link w:val="Normal"/>
    <w:pPr>
      <w:ind w:leftChars="400" w:left="840"/>
      <w:jc w:val="both"/>
      <w:textAlignment w:val="baseline"/>
    </w:pPr>
  </w:style>
  <w:style w:type="paragraph" w:styleId="TOC1">
    <w:name w:val="TOC1"/>
    <w:basedOn w:val="Normal"/>
    <w:next w:val="Normal"/>
    <w:link w:val="Normal"/>
    <w:pPr>
      <w:jc w:val="both"/>
      <w:textAlignment w:val="baseline"/>
    </w:pPr>
  </w:style>
  <w:style w:type="paragraph" w:styleId="Footer">
    <w:name w:val="Footer"/>
    <w:basedOn w:val="Normal"/>
    <w:next w:val="Footer"/>
    <w:link w:val="UserStyle_2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UserStyle_5">
    <w:name w:val="UserStyle_5"/>
    <w:next w:val="UserStyle_5"/>
    <w:link w:val="Normal"/>
    <w:pPr>
      <w:rPr>
        <w:szCs w:val="20"/>
        <w:sz w:val="20"/>
      </w:rPr>
      <w:widowControl/>
      <w:ind w:leftChars="200"/>
      <w:textAlignment w:val="baseline"/>
    </w:pPr>
    <w:rPr>
      <w:szCs w:val="20"/>
      <w:sz w:val="20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ind w:leftChars="0" w:rightChars="0" w:left="0" w:firstLineChars="0" w:right="0"/>
        <w:spacing w:line="240" w:after="0" w:before="0" w:lineRule="auto"/>
        <w:jc w:val="center"/>
        <w:textAlignment w:val="baseline"/>
      </w:pPr>
      <w:r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t xml:space="preserve">目</w:t>
      </w:r>
      <w:r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t xml:space="preserve">  </w:t>
      </w:r>
      <w:r>
        <w:rPr>
          <w:rStyle w:val="NormalCharacter"/>
          <w:szCs w:val="52"/>
          <w:sz w:val="52"/>
          <w:kern w:val="2"/>
          <w:lang w:val="en-US" w:eastAsia="zh-CN" w:bidi="ar-SA"/>
          <w:rFonts w:ascii="仿宋" w:eastAsia="仿宋" w:hAnsi="仿宋"/>
        </w:rPr>
        <w:t xml:space="preserve">录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沅江市</w:t>
      </w:r>
      <w:r>
        <w:rPr>
          <w:rStyle w:val="NormalCharacter"/>
          <w:bCs/>
          <w:szCs w:val="30"/>
          <w:sz w:val="30"/>
          <w:kern w:val="0"/>
          <w:lang w:val="en-US" w:eastAsia="zh-CN"/>
          <w:rFonts w:ascii="仿宋" w:cs="仿宋" w:eastAsia="仿宋" w:hAnsi="仿宋"/>
        </w:rPr>
        <w:t xml:space="preserve">公安局交通警察大队</w:t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2020年部门预算说明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2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一、 </w:t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工作职责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2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二、部门预算单位构成 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2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三、部门预算人员构成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2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四、2020年收支预算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3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（一）收入预算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3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（二）支出预算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3</w:t>
      </w:r>
    </w:p>
    <w:p>
      <w:pPr>
        <w:pStyle w:val="TOC3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400" w:left="84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1、按支出项目类别分：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3</w:t>
      </w:r>
    </w:p>
    <w:p>
      <w:pPr>
        <w:pStyle w:val="TOC3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400" w:left="84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2、按支出功能分类股目：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4</w:t>
      </w:r>
    </w:p>
    <w:p>
      <w:pPr>
        <w:pStyle w:val="TOC3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400" w:left="84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3、按支出经济分类股目：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4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（</w:t>
      </w:r>
      <w:r>
        <w:rPr>
          <w:rStyle w:val="NormalCharacter"/>
          <w:bCs/>
          <w:szCs w:val="30"/>
          <w:sz w:val="30"/>
          <w:kern w:val="0"/>
          <w:lang w:val="en-US" w:eastAsia="zh-CN"/>
          <w:rFonts w:ascii="仿宋" w:cs="仿宋" w:eastAsia="仿宋" w:hAnsi="仿宋"/>
        </w:rPr>
        <w:t xml:space="preserve">三</w:t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）</w:t>
      </w:r>
      <w:r>
        <w:rPr>
          <w:rStyle w:val="NormalCharacter"/>
          <w:bCs/>
          <w:szCs w:val="30"/>
          <w:sz w:val="30"/>
          <w:kern w:val="0"/>
          <w:lang w:val="en-US" w:eastAsia="zh-CN"/>
          <w:rFonts w:ascii="仿宋" w:cs="仿宋" w:eastAsia="仿宋" w:hAnsi="仿宋"/>
        </w:rPr>
        <w:t xml:space="preserve">一般公用预算拨款</w:t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支出预算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4</w:t>
      </w:r>
    </w:p>
    <w:p>
      <w:pPr>
        <w:pStyle w:val="TOC3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400" w:left="84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1、按支出项目类别分：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4</w:t>
      </w:r>
    </w:p>
    <w:p>
      <w:pPr>
        <w:pStyle w:val="TOC3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400" w:left="84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2、按支出功能分类股目：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4</w:t>
      </w:r>
    </w:p>
    <w:p>
      <w:pPr>
        <w:pStyle w:val="TOC3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400" w:left="84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3、按支出经济分类股目：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5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五、 </w:t>
      </w: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其他重要事项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5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(一） 机关运行经费执行情况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5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（二）“三公”经费情况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5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（三）政府采购情况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5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（四）国有资产占用使用情况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5</w:t>
      </w:r>
    </w:p>
    <w:p>
      <w:pPr>
        <w:pStyle w:val="TOC2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ind w:leftChars="200" w:left="420"/>
        <w:textAlignment w:val="baseline"/>
      </w:pP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（五）预算绩效评价情况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6</w:t>
      </w:r>
    </w:p>
    <w:p>
      <w:pPr>
        <w:pStyle w:val="TOC1"/>
        <w:rPr>
          <w:rStyle w:val="NormalCharacter"/>
          <w:szCs w:val="30"/>
          <w:sz w:val="30"/>
          <w:rFonts w:ascii="仿宋" w:eastAsia="仿宋" w:hAnsi="仿宋"/>
        </w:rPr>
        <w:widowControl/>
        <w:tabs>
          <w:tab w:leader="dot" w:val="right" w:pos="9740"/>
        </w:tabs>
        <w:textAlignment w:val="baseline"/>
      </w:pPr>
      <w:r>
        <w:rPr>
          <w:rStyle w:val="NormalCharacter"/>
          <w:bCs/>
          <w:szCs w:val="30"/>
          <w:sz w:val="30"/>
          <w:kern w:val="0"/>
          <w:rFonts w:ascii="仿宋" w:cs="仿宋" w:eastAsia="仿宋" w:hAnsi="仿宋"/>
        </w:rPr>
        <w:t xml:space="preserve">六、名词解释</w:t>
      </w:r>
      <w:r>
        <w:rPr>
          <w:rStyle w:val="NormalCharacter"/>
          <w:szCs w:val="30"/>
          <w:sz w:val="30"/>
          <w:kern w:val="0"/>
          <w:rFonts w:ascii="仿宋" w:eastAsia="仿宋" w:hAnsi="仿宋"/>
        </w:rPr>
        <w:t xml:space="preserve"> </w:t>
      </w:r>
      <w:r>
        <w:rPr>
          <w:rStyle w:val="NormalCharacter"/>
          <w:szCs w:val="30"/>
          <w:sz w:val="30"/>
          <w:rFonts w:ascii="仿宋" w:eastAsia="仿宋" w:hAnsi="仿宋"/>
        </w:rPr>
        <w:tab/>
      </w:r>
      <w:r>
        <w:rPr>
          <w:rStyle w:val="NormalCharacter"/>
          <w:szCs w:val="30"/>
          <w:sz w:val="30"/>
          <w:rFonts w:ascii="仿宋" w:eastAsia="仿宋" w:hAnsi="仿宋"/>
        </w:rPr>
        <w:t xml:space="preserve">6</w:t>
      </w:r>
    </w:p>
    <w:p>
      <w:pPr>
        <w:pStyle w:val="Normal"/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widowControl/>
        <w:shd w:color="auto" w:val="clear" w:fill="FFFFFF"/>
        <w:framePr w:outlineLvl="0"/>
        <w:spacing w:line="404" w:after="100" w:before="100" w:lineRule="atLeast"/>
        <w:jc w:val="center"/>
        <w:textAlignment w:val="baseline"/>
      </w:pP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沅江市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公安局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交通警察大队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Arial" w:cs="Arial" w:hAnsi="Arial"/>
          <w:color w:val="000000"/>
        </w:rPr>
        <w:t xml:space="preserve">2020</w:t>
      </w:r>
      <w:r>
        <w:rPr>
          <w:rStyle w:val="NormalCharacter"/>
          <w:b/>
          <w:bCs/>
          <w:szCs w:val="36"/>
          <w:sz w:val="36"/>
          <w:kern w:val="0"/>
          <w:lang w:val="en-US" w:eastAsia="zh-CN" w:bidi="ar-SA"/>
          <w:rFonts w:ascii="宋体" w:cs="宋体" w:hAnsi="宋体"/>
          <w:color w:val="000000"/>
        </w:rPr>
        <w:t xml:space="preserve">年部门预算说明</w:t>
      </w: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　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80" w:firstLineChars="150"/>
        <w:spacing w:line="560" w:after="100" w:before="100" w:lineRule="atLeast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80" w:firstLineChars="15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根据湖南省财政厅部门预算公开的相关要求，现将沅江市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公安局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交通警察大队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2020年部门预算编制说明如下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：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widowControl/>
        <w:shd w:color="auto" w:val="clear" w:fill="FFFFFF"/>
        <w:framePr w:outlineLvl="0"/>
        <w:ind w:hanging="720" w:left="1200"/>
        <w:spacing w:line="560" w:after="100" w:before="100" w:lineRule="atLeast"/>
        <w:jc w:val="left"/>
        <w:textAlignment w:val="baseline"/>
        <w:numPr>
          <w:ilvl w:val="0"/>
          <w:numId w:val="1"/>
        </w:numPr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工作职责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ind w:firstLine="600" w:firstLineChars="200"/>
        <w:jc w:val="both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沅江市公安局交通警察大队主要职能是负责全市道路交通管理工作。宣传贯彻执行道路交通管理法律法规，指挥疏导交通，维护道路交通秩序，预防和处理道路交通事故，组织开展交通安全秩序整顿，管理机动车辆和驾驶人，担负交通警卫，依法查处交通违法，打击交通肇事犯罪，处置突发性交通事件，规划、建设、管理道路安全设施，促进道路交通安全管理规范化、法制化、社会化，保障全市道路交通有序、安全、畅通，维护社会政治稳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0"/>
        <w:ind w:firstLine="472" w:firstLineChars="147"/>
        <w:spacing w:line="560" w:after="100" w:before="10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二、部门预算单位构成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宋体" w:cs="宋体" w:eastAsia="仿宋" w:hAnsi="宋体"/>
          <w:color w:val="000000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ind w:firstLine="420"/>
        <w:spacing w:line="520" w:lineRule="atLeast"/>
        <w:jc w:val="left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根据编委核定，我大队内设机构为九队一所，即综合指导中队、法制宣传中队、秩序管理中队、事故预防与处理中队、科技设施与视频侦查中队、一中队、二中队、三中队、四中队、车辆管理所。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全部纳入2020年部门预算编制范围。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宋体" w:eastAsia="仿宋" w:hAnsi="宋体"/>
          <w:color w:val="000000"/>
        </w:rPr>
        <w:t xml:space="preserve"> 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widowControl/>
        <w:framePr w:outlineLvl="0"/>
        <w:ind w:firstLine="420"/>
        <w:spacing w:line="52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三、部门预算人员构成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ind w:firstLine="640" w:firstLineChars="20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截止2019年12月（预算编制时间），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我局纳入部门预算编制 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94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人。其中：实有在职民警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78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人，离退休人员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16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人，遗属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2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0"/>
        <w:ind w:firstLine="472" w:firstLineChars="147"/>
        <w:spacing w:line="560" w:after="100" w:before="10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四、2020年收支预算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555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1"/>
        <w:ind w:firstLine="555"/>
        <w:spacing w:line="560" w:after="100" w:before="100" w:lineRule="atLeast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（一）收入预算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ind w:firstLine="640" w:firstLineChars="2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2020年单位预算收入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3211.944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上级财政补助收入：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124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万元，其他收入0万元。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收入较去年增加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1321.461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原因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是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城建投单位性质发生改变，不再承担行政单位建设，沅江市公安局交通警察大队增加了980万元车管所建设项目专项跟240万红绿灯等交通安全设施建设专项。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1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　　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（二）支出预算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28" w:left="14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1、按支出项目类别分：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1161.944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966.944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万元，其中: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专项商品和服务支出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万元，主要用于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执法办案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等方面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2、按支出功能分类股目：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公安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897.988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一般行政管理事务（公安）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2040220执法办案2174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住房公积金68.956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3、按支出经济分类股目：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965.924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对个人和家庭的补助支出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1.02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57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1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　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（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三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）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一般公用预算拨款</w:t>
      </w: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支出预算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428" w:left="14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一般公用预算拨款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1、按支出项目类别分：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1161.944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966.944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万元，其中: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专项商品和服务支出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万元，主要用于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执法办案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等方面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2、按支出功能分类股目：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公安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897.988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40202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一般行政管理事务（公安）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2040220执法办案2174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住房公积金68.956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framePr w:outlineLvl="2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3、按支出经济分类股目：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965.924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对个人和家庭的补助支出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1.02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/>
        <w:spacing w:line="5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570"/>
        <w:spacing w:line="560" w:after="100" w:before="1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2020年全年收支预算平衡。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widowControl/>
        <w:shd w:color="auto" w:val="clear" w:fill="FFFFFF"/>
        <w:framePr w:outlineLvl="0"/>
        <w:ind w:firstLine="472" w:firstLineChars="147"/>
        <w:spacing w:line="560" w:after="100" w:before="100" w:lineRule="atLeast"/>
        <w:jc w:val="left"/>
        <w:textAlignment w:val="baseline"/>
        <w:numPr>
          <w:ilvl w:val="0"/>
          <w:numId w:val="2"/>
        </w:numPr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640" w:firstLineChars="200"/>
        <w:jc w:val="both"/>
        <w:textAlignment w:val="baseline"/>
        <w:numPr>
          <w:ilvl w:val="0"/>
          <w:numId w:val="3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ind w:firstLine="6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195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万元，比2019年预算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增加5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增加2.63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增加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在职人数增加。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jc w:val="both"/>
        <w:textAlignment w:val="baseline"/>
      </w:pPr>
      <w:r>
        <w:rPr>
          <w:rStyle w:val="NormalCharacter"/>
          <w:szCs w:val="30"/>
          <w:sz w:val="30"/>
          <w:kern w:val="2"/>
          <w:lang w:val="en-US" w:eastAsia="zh-CN" w:bidi="ar-SA"/>
          <w:color w:val="333333"/>
        </w:rPr>
        <w:t xml:space="preserve">   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（二）“三公”经费情况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ind w:firstLine="640" w:firstLineChars="2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2020年，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我局“三公”经费财政拨款预算数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154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万元，其中：公务接待费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14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万元，公务用车购置及运行维护费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140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/>
        </w:rPr>
        <w:t xml:space="preserve">万元，与上年持平。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320" w:firstLineChars="10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（三）政府采购情况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ind w:firstLine="480" w:firstLineChars="15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2020年，我单位安排政府采购预算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358.105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万元，主要用于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更换警车、购买警务通、执法办案等专项支出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等。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480" w:firstLineChars="15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（四）国有资产占用使用情况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    截止2019年12月30日，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我单位共有车辆27辆，电脑，专用设备，警用物资等等，资产净值共计704.1万元。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framePr w:outlineLvl="1"/>
        <w:ind w:firstLine="480" w:firstLineChars="150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（五）预算绩效评价情况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ind w:firstLine="640" w:firstLineChars="200"/>
        <w:spacing w:line="524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2020年度，本部门整体支出和项目支出实行绩效目标管理，纳入2020年部门整体支出绩效目标的金额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3335.944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1161.944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2174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宋体" w:hAnsi="宋体"/>
        </w:rPr>
        <w:widowControl/>
        <w:framePr w:outlineLvl="0"/>
        <w:ind w:firstLine="643" w:firstLineChars="200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" w:cs="宋体" w:eastAsia="仿宋" w:hAnsi="仿宋"/>
          <w:color w:val="000000"/>
        </w:rPr>
        <w:t xml:space="preserve">六、名词解释</w:t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hAnsi="宋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jc w:val="both"/>
        <w:textAlignment w:val="baseline"/>
      </w:pP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vAlign w:val="top"/>
      <w:type w:val="nextPage"/>
      <w:pgSz w:h="16838" w:w="11906" w:orient="portrait"/>
      <w:pgMar w:gutter="0" w:header="851" w:top="1440" w:bottom="1440" w:footer="992" w:left="1083" w:right="1083"/>
      <w:lnNumType w:countBy="0"/>
      <w:paperSrc w:first="0" w:other="0"/>
      <w:cols w:space="425" w:num="1"/>
      <w:docGrid w:charSpace="0" w:linePitch="312" w:type="lines"/>
    </w:sectPr>
  </w:body>
</w:document>
</file>

<file path=treport/opRecord.xml>p_0(0|D,0|D,0|D,1mpValue|null,2mpValue|null,3mpValue|null,4mpValue|null,5mpValue|null,6mpValue|null,7mpValue|null,8mpValue|null,9mpValue|null,10mpValue|null,11mpValue|null,12mpValue|null,13mpValue|null,14mpValue|null,15mpValue|null,16mpValue|null,17mpValue|null,18mpValue|null,19mpValue|null,20mpValue|null);p_1|D;p_2|D;p_3|D;p_4|D;p_5|D;p_6|D;p_7|D;p_8|D;p_9|D;p_10|D;p_11|D;p_12|D;p_13|D;p_14|D;p_15|D;p_16|D;p_17|D;p_18|D;p_19|D;p_20|D;p_21(0|D,0|D,0|D,0|D,22mpValue|null,23mpValue|null);p_22|D;p_23|D;
</file>