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市信访局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/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/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/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/>
      </w: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/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/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 </w:t>
      </w: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00007a87" w:usb1="80000000" w:usb2="00000008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方正小标宋简体">
    <w:altName w:val="方正小标宋简体"/>
    <w:charset w:val="86"/>
    <w:family w:val="auto"/>
    <w:panose1 w:val="03000509000000000000"/>
    <w:pitch w:val="default"/>
    <w:sig w:usb0="00000001" w:usb1="080e0000" w:usb2="00000000" w:usb3="00000000" w:csb0="00040000" w:csb1="00000000"/>
  </w:font>
  <w:font w:name="方正小标宋_GBK">
    <w:altName w:val="微软雅黑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Calibri">
    <w:altName w:val="Calibri"/>
    <w:charset w:val="00"/>
    <w:family w:val="swiss"/>
    <w:panose1 w:val="020f0502020204030204"/>
    <w:pitch w:val="default"/>
    <w:sig w:usb0="a00002ef" w:usb1="4000207b" w:usb2="00000000" w:usb3="00000000" w:csb0="2000009f" w:csb1="00000000"/>
  </w:font>
  <w:font w:name="仿宋">
    <w:altName w:val="仿宋"/>
    <w:charset w:val="86"/>
    <w:family w:val="modern"/>
    <w:panose1 w:val="02010609060101010101"/>
    <w:pitch w:val="default"/>
    <w:sig w:usb0="800002bf" w:usb1="38cf7cfa" w:usb2="00000016" w:usb3="00000000" w:csb0="00040001" w:csb1="00000000"/>
  </w:font>
  <w:font w:name="黑体">
    <w:altName w:val="黑体"/>
    <w:charset w:val="86"/>
    <w:family w:val="auto"/>
    <w:panose1 w:val="02010600030101010101"/>
    <w:pitch w:val="default"/>
    <w:sig w:usb0="800002bf" w:usb1="38cf7cfa" w:usb2="00000016" w:usb3="00000000" w:csb0="00040001" w:csb1="00000000"/>
  </w:font>
  <w:font w:name="楷体">
    <w:altName w:val="楷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楷体_GB2312">
    <w:altName w:val="楷体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Times New Roman">
    <w:altName w:val="Times New Roman"/>
    <w:charset w:val="cc"/>
    <w:family w:val="roman"/>
    <w:panose1 w:val="02020603050405020304"/>
    <w:pitch w:val="default"/>
    <w:sig w:usb0="00007a87" w:usb1="80000000" w:usb2="00000008" w:usb3="00000000" w:csb0="400001ff" w:csb1="00000000"/>
  </w:font>
  <w:font w:name="Arial">
    <w:altName w:val="Arial"/>
    <w:charset w:val="01"/>
    <w:family w:val="swiss"/>
    <w:panose1 w:val="020b0604020202020204"/>
    <w:pitch w:val="default"/>
    <w:sig w:usb0="00007a87" w:usb1="80000000" w:usb2="00000008" w:usb3="00000000" w:csb0="400001ff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de06c659"/>
    <w:multiLevelType w:val="singleLevel"/>
    <w:tmpl w:val="de06c659"/>
    <w:lvl w:ilvl="0">
      <w:start w:val="2"/>
      <w:numFmt w:val="chineseCounting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7872aa2e"/>
    <w:multiLevelType w:val="singleLevel"/>
    <w:tmpl w:val="7872aa2e"/>
    <w:lvl w:ilvl="0">
      <w:start w:val="2"/>
      <w:numFmt w:val="decimal"/>
      <w:suff w:val="nothing"/>
      <w:lvlText w:val="（%1）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12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eastAsia="宋体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eastAsia="宋体"/>
    </w:rPr>
  </w:style>
  <w:style w:type="paragraph" w:styleId="179">
    <w:name w:val="179"/>
    <w:basedOn w:val="Normal"/>
    <w:next w:val="179"/>
    <w:link w:val="Normal"/>
    <w:pPr>
      <w:ind w:firstLine="420" w:firstLineChars="200"/>
      <w:jc w:val="both"/>
      <w:textAlignment w:val="baseline"/>
    </w:p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市委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编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办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20</w:t>
      </w:r>
      <w:r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t xml:space="preserve">年度部门预算情况说明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center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目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方正小标宋_GBK" w:eastAsia="方正小标宋_GBK" w:hAnsi="方正小标宋_GBK"/>
          <w:color w:val="333333"/>
        </w:rPr>
        <w:t xml:space="preserve"> </w:t>
      </w:r>
      <w:r>
        <w:rPr>
          <w:rStyle w:val="NormalCharacter"/>
          <w:caps w:val="off"/>
          <w:i w:val="off"/>
          <w:iCs w:val="off"/>
          <w:szCs w:val="44"/>
          <w:sz w:val="44"/>
          <w:kern w:val="0"/>
          <w:lang w:val="en-US" w:eastAsia="zh-CN"/>
          <w:rFonts w:ascii="宋体" w:eastAsia="宋体" w:hAnsi="宋体"/>
          <w:color w:val="333333"/>
        </w:rPr>
        <w:t xml:space="preserve">录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宋体" w:hAnsi="Calibri"/>
          <w:color w:val="333333"/>
        </w:rPr>
        <w:widowControl/>
        <w:shd w:color="auto" w:val="clear" w:fill="FFFFFF"/>
        <w:ind w:firstLine="320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仿宋" w:eastAsia="仿宋" w:hAnsi="仿宋"/>
          <w:color w:val="333333"/>
        </w:rPr>
        <w:t xml:space="preserve"> 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黑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第一部分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HtmlNormal"/>
        <w:rPr>
          <w:rStyle w:val="NormalCharacter"/>
          <w:caps w:val="off"/>
          <w:i w:val="off"/>
          <w:iCs w:val="off"/>
          <w:szCs w:val="21"/>
          <w:sz w:val="21"/>
          <w:kern w:val="0"/>
          <w:lang w:val="en-US" w:eastAsia="zh-CN"/>
          <w:rFonts w:ascii="Calibri" w:eastAsia="楷体" w:hAnsi="Calibri"/>
          <w:color w:val="333333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工作职责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二、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部门预算单位构成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三、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部门预算人员构成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第二部分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预算情况说明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楷体" w:eastAsia="楷体" w:hAnsi="楷体"/>
          <w:color w:val="333333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预算编制情况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t xml:space="preserve">二、其他重要事项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  <w:r>
        <w:rPr>
          <w:rStyle w:val="NormalCharacter"/>
          <w:caps w:val="off"/>
          <w:i w:val="off"/>
          <w:iCs w:val="off"/>
          <w:szCs w:val="32"/>
          <w:sz w:val="32"/>
          <w:kern w:val="0"/>
          <w:lang w:val="en-US" w:eastAsia="zh-CN"/>
          <w:rFonts w:ascii="黑体" w:eastAsia="黑体" w:hAnsi="宋体"/>
          <w:color w:val="333333"/>
        </w:rPr>
        <w:t xml:space="preserve">第三部分 </w:t>
      </w:r>
      <w:r>
        <w:rPr>
          <w:rStyle w:val="NormalCharacter"/>
          <w:szCs w:val="32"/>
          <w:sz w:val="32"/>
          <w:kern w:val="0"/>
          <w:lang w:val="en-US" w:eastAsia="zh-CN"/>
          <w:rFonts w:ascii="黑体" w:eastAsia="黑体" w:hAnsi="黑体"/>
          <w:color w:val="000000"/>
        </w:rPr>
        <w:t xml:space="preserve">名词解释 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/>
          <w:rFonts w:ascii="楷体_GB2312" w:eastAsia="楷体_GB2312" w:hAnsi="楷体_GB2312"/>
          <w:color w:val="000000"/>
        </w:rPr>
        <w:widowControl/>
        <w:shd w:color="auto" w:val="clear" w:fill="FFFFFF"/>
        <w:ind w:firstLine="420" w:left="0" w:right="0"/>
        <w:spacing w:line="540" w:after="0" w:before="0" w:lineRule="atLeast"/>
        <w:jc w:val="both"/>
        <w:textAlignment w:val="baseline"/>
        <w:pBdr>
          <w:top w:val="nil"/>
          <w:left w:val="nil"/>
          <w:bottom w:val="nil"/>
          <w:right w:val="nil"/>
        </w:pBdr>
      </w:pPr>
    </w:p>
    <w:p>
      <w:pPr>
        <w:pStyle w:val="Normal"/>
        <w:rPr>
          <w:rStyle w:val="NormalCharacter"/>
          <w:b w:val="off"/>
          <w:bCs w:val="off"/>
          <w:szCs w:val="44"/>
          <w:sz w:val="44"/>
          <w:kern w:val="0"/>
          <w:lang w:val="en-US" w:eastAsia="zh-CN" w:bidi="ar-SA"/>
          <w:rFonts w:ascii="方正小标宋简体" w:eastAsia="方正小标宋简体" w:hAnsi="方正小标宋简体"/>
          <w:color w:val="000000"/>
        </w:rPr>
        <w:widowControl/>
        <w:jc w:val="center"/>
        <w:textAlignment w:val="baseline"/>
      </w:pP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一、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主要职责及部门预算单位构成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（一）</w:t>
      </w:r>
      <w:r>
        <w:rPr>
          <w:rStyle w:val="NormalCharacter"/>
          <w:szCs w:val="32"/>
          <w:sz w:val="32"/>
          <w:kern w:val="0"/>
          <w:rFonts w:ascii="楷体_GB2312" w:eastAsia="楷体_GB2312" w:hAnsi="楷体_GB2312"/>
          <w:color w:val="000000"/>
        </w:rPr>
        <w:t xml:space="preserve">工作职责</w:t>
      </w: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市委机构编制委员会办公室是市委机构编制委员会的常设办事机构，承担市委编委日常工作，作为市委工作机关，归口组织部管理。主要职责：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(1)贯彻执行党中央、省委、益阳市委、沅江市委和市委编委关于机构编制工作的政策法规制度，拟订全市机构编制管理规范性文件并组织实施，落实机构编制法定化要求。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(2)拟订全市机构改革、事业单位改革、行政体制改革方案草案，经批准后组织实施。    </w:t>
      </w:r>
    </w:p>
    <w:p>
      <w:pPr>
        <w:pStyle w:val="179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(3)承担全市各级党委、人大、政府、政协、监委机关、工商联、群众团体机关和事业单位机构编制管理的具体组织实施工作。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(4)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承担全市各部门职能配置及调整工作，协调部门之间、部门与镇（街道）之间职责分工；审核机关事业单位职能配置、内设机构和人员编制规定（简称“三定”规定）；审定股级事业单位机构编制事项。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(5)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科级（含副科级，下同）机构设置和调整及科级领导职数设置和调整等审核报批工作；审核全市股级事业单位设置；审定全市科级机构的内设机构、股级事业单位调整、股级领导职数在限额内的设置和调整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(6)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承担全市行政编制、事业编制总量管理工作。拟订全市行政事业编制总量控制和分配方案；拟订机关事业单位行政事业编制分配和调整方案。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(7)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承担全市机构编制实名制管理工作，审核纳入市级财政统一发放工资的机关事业单位人员编制性质、数量、实有人数和领导职数；会同有关部门健全完善机构编制、人员与财政预算相结合管理机制。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(8)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拟订全市事业单位登记管理的规范性文件并组织实施；依法对事业单位进行登记管理；指导、协调和监督全市事业单位登记管理工作；承担市本级机关群团组织统一社会信用代码赋码工作。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(9)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承担对全市各级各部门执行机构编制政策法规、机构改革方案、“三定”规定情况的监督检查和评估工作；受理违反机构编制管理规定问题的举报，会同有关部门查处机构编制违法违纪行为；承担全市机构编制统计、网上名称管理工作；指导全市机构编制系统信息化建设。</w:t>
      </w:r>
    </w:p>
    <w:p>
      <w:pPr>
        <w:pStyle w:val="179"/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widowControl/>
        <w:ind w:firstLine="62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22"/>
          <w:sz w:val="31"/>
          <w:kern w:val="2"/>
          <w:lang w:val="en-US" w:eastAsia="zh-CN"/>
          <w:rFonts w:ascii="仿宋" w:eastAsia="仿宋" w:hAnsi="仿宋"/>
          <w:color w:val="000000"/>
        </w:rPr>
        <w:t xml:space="preserve">(10)</w:t>
      </w:r>
      <w:r>
        <w:rPr>
          <w:rStyle w:val="NormalCharacter"/>
          <w:szCs w:val="22"/>
          <w:sz w:val="31"/>
          <w:kern w:val="2"/>
          <w:rFonts w:ascii="仿宋" w:eastAsia="仿宋" w:hAnsi="仿宋"/>
          <w:color w:val="000000"/>
        </w:rPr>
        <w:t xml:space="preserve">完成市委、市委编委交办的其他任务。</w:t>
      </w:r>
    </w:p>
    <w:p>
      <w:pPr>
        <w:pStyle w:val="179"/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widowControl/>
        <w:ind w:firstLine="640" w:firstLineChars="200"/>
        <w:textAlignment w:val="baseline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eastAsia="zh-CN"/>
          <w:rFonts w:ascii="楷体_GB2312" w:eastAsia="楷体_GB2312" w:hAnsi="楷体_GB2312"/>
          <w:color w:val="000000"/>
        </w:rPr>
        <w:t xml:space="preserve">（二）部门预算单位构成。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市委编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办内设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办公室、登记管理股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个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职能科室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核定行政编制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7人，实有职工5人。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（三）部门预算人员构成。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截止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年1月，我办纳入预算编制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人，其中：公务员及参公人员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人；离退休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人。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二、预算情况说明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（一）预算编制情况。按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照预算管理有关规定，部门预算的编制实行综合预算制度，即全部收入和支出都反映在预算中。支出情况分别按资金来源、项目类别、功能分类科目和经济分类科目反映。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年预算总收入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。其中：一般公共预算拨款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纳入公共预算管理的非税拨款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万元，政府性基金拨款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万元，纳入专户管理的非税收入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万元，事业单位经营收入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万元，其他收入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" w:eastAsia="仿宋" w:hAnsi="仿宋"/>
          <w:color w:val="000000"/>
        </w:rPr>
        <w:t xml:space="preserve">万元。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收入较去年减少24.78千元，主要是根据市委要求，全市单位财政专项预算整体缩减。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支出预算：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年单位预算支出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按支出项目类分：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，分别为：人员经费支出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(含)，公用经费支出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1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按支出功能科目分：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行政运行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418.42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2013102一般行政管理事务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2210201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住房公积金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38.69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）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按支出经济科目分：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工资福利支出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457.11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商品和服务支出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；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年全年收支预算平衡。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2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其他重要事项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机关运行经费执行情况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年单位的机关运行经费当年一般公共预算拨款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元，比20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19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年预算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24.78千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元，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降幅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3.12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%。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减少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原因为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根据市委要求，全市单位财政专项预算整体缩减。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  <w:numPr>
          <w:ilvl w:val="0"/>
          <w:numId w:val="0"/>
        </w:numP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“三公”经费情况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年，我办“三公”经费预算数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，其中：公务接待费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其中：公务接待费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10千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元，公务用车购置费用0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元，公务用车运行维护费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0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千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政府采购情况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年我办安排政府采购预算0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。</w:t>
      </w:r>
    </w:p>
    <w:p>
      <w:pPr>
        <w:pStyle w:val="Html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widowControl/>
        <w:shd w:color="auto" w:val="clear" w:fill="FFFFFF"/>
        <w:ind w:leftChars="0" w:rightChars="0" w:left="630" w:right="0"/>
        <w:spacing w:line="540" w:after="0" w:before="0" w:lineRule="atLeast"/>
        <w:jc w:val="both"/>
        <w:textAlignment w:val="baseline"/>
        <w:numPr>
          <w:ilvl w:val="0"/>
          <w:numId w:val="0"/>
        </w:numPr>
        <w:pBdr>
          <w:top w:val="nil"/>
          <w:left w:val="nil"/>
          <w:bottom w:val="nil"/>
          <w:right w:val="nil"/>
        </w:pBdr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4.国有资产占用使用情况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截止201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9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年12月3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1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日，我单位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无公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有车辆</w:t>
      </w:r>
      <w:r>
        <w:rPr>
          <w:rStyle w:val="NormalCharacter"/>
          <w:caps w:val="off"/>
          <w:i w:val="off"/>
          <w:iCs w:val="off"/>
          <w:szCs w:val="32"/>
          <w:sz w:val="32"/>
          <w:kern w:val="2"/>
          <w:lang w:val="en-US" w:eastAsia="zh-CN" w:bidi="ar-SA"/>
          <w:rFonts w:ascii="仿宋" w:eastAsia="仿宋" w:hAnsi="仿宋"/>
          <w:color w:val="000000"/>
        </w:rPr>
        <w:t xml:space="preserve">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3.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预算绩效评估情况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2020年度，我办整体支出和项目支出实行绩效目标管理，纳入2020年部门整体支出绩效目标的金额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767.11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千元，其中，基本支出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507.11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千元，项目支出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260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千元。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p>
      <w:pPr>
        <w:pStyle w:val="Normal"/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autoSpaceDE/>
        <w:autoSpaceDN/>
        <w:bidi w:val="off"/>
        <w:kinsoku/>
        <w:kinsoku/>
        <w:overflowPunct/>
        <w:widowControl/>
        <w:wordWrap/>
        <w:snapToGrid w:val="0"/>
        <w:ind w:firstLine="640" w:left="0" w:firstLineChars="200"/>
        <w:spacing w:line="560" w:lineRule="exact"/>
        <w:jc w:val="left"/>
        <w:textAlignment w:val="auto"/>
      </w:pP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三</w:t>
      </w:r>
      <w:r>
        <w:rPr>
          <w:rStyle w:val="NormalCharacter"/>
          <w:b w:val="off"/>
          <w:bCs w:val="off"/>
          <w:szCs w:val="32"/>
          <w:sz w:val="32"/>
          <w:kern w:val="0"/>
          <w:lang w:val="en-US" w:eastAsia="zh-CN" w:bidi="ar-SA"/>
          <w:rFonts w:ascii="黑体" w:eastAsia="黑体" w:hAnsi="黑体"/>
          <w:color w:val="000000"/>
        </w:rPr>
        <w:t xml:space="preserve">、名词解释</w:t>
      </w:r>
      <w:r>
        <w:rPr>
          <w:rStyle w:val="NormalCharacter"/>
          <w:b w:val="off"/>
          <w:bCs w:val="off"/>
          <w:szCs w:val="28"/>
          <w:sz w:val="28"/>
          <w:kern w:val="0"/>
          <w:lang w:val="en-US" w:eastAsia="zh-CN" w:bidi="ar-SA"/>
          <w:rFonts w:ascii="黑体" w:eastAsia="黑体" w:hAnsi="黑体"/>
        </w:rPr>
        <w:t xml:space="preserve">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560" w:firstLineChars="200"/>
        <w:jc w:val="left"/>
        <w:textAlignment w:val="auto"/>
      </w:pPr>
      <w:r>
        <w:rPr>
          <w:rStyle w:val="NormalCharacter"/>
          <w:szCs w:val="28"/>
          <w:sz w:val="28"/>
          <w:kern w:val="0"/>
          <w:lang w:val="en-US" w:eastAsia="zh-CN" w:bidi="ar-SA"/>
          <w:rFonts w:ascii="宋体" w:eastAsia="宋体" w:hAnsi="宋体"/>
        </w:rPr>
        <w:t xml:space="preserve">　　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1．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  <w:r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t xml:space="preserve">　　2．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 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  <w:color w:val="000000"/>
        </w:rPr>
        <w:autoSpaceDE/>
        <w:autoSpaceDN/>
        <w:bidi w:val="off"/>
        <w:kinsoku/>
        <w:kinsoku/>
        <w:overflowPunct/>
        <w:widowControl/>
        <w:wordWrap/>
        <w:ind w:firstLine="640" w:firstLineChars="200"/>
        <w:jc w:val="left"/>
        <w:textAlignment w:val="auto"/>
      </w:pPr>
    </w:p>
    <w:sectPr>
      <w:vAlign w:val="top"/>
      <w:type w:val="nextPage"/>
      <w:pgSz w:h="16838" w:w="11906" w:orient="portrait"/>
      <w:pgMar w:gutter="0" w:header="851" w:top="2098" w:bottom="1984" w:footer="992" w:left="1587" w:right="1474"/>
      <w:lnNumType w:countBy="0"/>
      <w:paperSrc w:first="0" w:other="0"/>
      <w:cols w:space="425" w:num="1"/>
      <w:docGrid w:charSpace="0" w:linePitch="312" w:type="lines"/>
    </w:sectPr>
  </w:body>
</w:document>
</file>

<file path=treport/opRecord.xml>p_0(0);
</file>