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ascii="Calibri" w:eastAsia="宋体" w:hAnsi="Calibri"/>
        </w:rPr>
        <w:widowControl/>
        <w:ind w:left="0" w:right="0"/>
        <w:spacing w:beforeAutospacing="true" w:after="0"/>
        <w:jc w:val="center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/>
          <w:bdr w:space="31" w:color="000000" w:val="none" w:shadow="1" w:sz="0"/>
          <w:szCs w:val="48"/>
          <w:sz w:val="48"/>
          <w:kern w:val="2"/>
          <w:lang w:val="en-US" w:eastAsia="zh-CN"/>
          <w:rFonts w:ascii="宋体" w:eastAsia="宋体" w:hAnsi="宋体"/>
        </w:rPr>
        <w:t xml:space="preserve">目</w:t>
      </w:r>
      <w:r>
        <w:rPr>
          <w:rStyle w:val="NormalCharacter"/>
          <w:b/>
          <w:bdr w:space="31" w:color="000000" w:val="none" w:shadow="1" w:sz="0"/>
          <w:szCs w:val="48"/>
          <w:sz w:val="48"/>
          <w:kern w:val="2"/>
          <w:lang w:val="en-US" w:eastAsia="zh-CN"/>
          <w:rFonts w:ascii="Cambria" w:eastAsia="宋体" w:hAnsi="Calibri"/>
        </w:rPr>
        <w:t xml:space="preserve">  </w:t>
      </w:r>
      <w:r>
        <w:rPr>
          <w:rStyle w:val="NormalCharacter"/>
          <w:b/>
          <w:bdr w:space="31" w:color="000000" w:val="none" w:shadow="1" w:sz="0"/>
          <w:szCs w:val="48"/>
          <w:sz w:val="48"/>
          <w:kern w:val="2"/>
          <w:lang w:val="en-US" w:eastAsia="zh-CN"/>
          <w:rFonts w:ascii="宋体" w:eastAsia="宋体" w:hAnsi="宋体"/>
        </w:rPr>
        <w:t xml:space="preserve">录</w:t>
      </w:r>
    </w:p>
    <w:p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ascii="Calibri" w:eastAsia="宋体" w:hAnsi="Calibri"/>
        </w:rPr>
        <w:widowControl/>
        <w:ind w:left="0" w:right="0"/>
        <w:spacing w:beforeAutospacing="true" w:after="0"/>
        <w:jc w:val="left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44"/>
          <w:sz w:val="44"/>
          <w:kern w:val="2"/>
          <w:lang w:val="en-US" w:eastAsia="zh-CN"/>
          <w:rFonts w:ascii="宋体" w:eastAsia="宋体" w:hAnsi="宋体"/>
        </w:rPr>
        <w:t xml:space="preserve"> 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72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/>
          <w:bdr w:space="31" w:color="000000" w:val="none" w:shadow="1" w:sz="0"/>
          <w:szCs w:val="36"/>
          <w:sz w:val="36"/>
          <w:kern w:val="2"/>
          <w:lang w:val="en-US" w:eastAsia="zh-CN" w:bidi="ar-SA"/>
          <w:rFonts w:ascii="宋体" w:eastAsia="宋体" w:hAnsi="宋体"/>
        </w:rPr>
        <w:t xml:space="preserve">一、 2020年沅江市科工局</w:t>
      </w:r>
      <w:r>
        <w:rPr>
          <w:rStyle w:val="NormalCharacter"/>
          <w:b/>
          <w:bdr w:space="31" w:color="000000" w:val="none" w:shadow="1" w:sz="0"/>
          <w:szCs w:val="36"/>
          <w:sz w:val="36"/>
          <w:kern w:val="2"/>
          <w:lang w:val="en-US" w:eastAsia="zh-CN" w:bidi="ar-SA"/>
          <w:rFonts w:ascii="宋体" w:eastAsia="宋体" w:hAnsi="宋体"/>
        </w:rPr>
        <w:t xml:space="preserve">预算编制说明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72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/>
          <w:bdr w:space="31" w:color="000000" w:val="none" w:shadow="1" w:sz="0"/>
          <w:szCs w:val="36"/>
          <w:sz w:val="36"/>
          <w:kern w:val="2"/>
          <w:lang w:val="en-US" w:eastAsia="zh-CN" w:bidi="ar-SA"/>
          <w:rFonts w:ascii="宋体" w:eastAsia="宋体" w:hAnsi="宋体"/>
        </w:rPr>
        <w:t xml:space="preserve">二、 2020年</w:t>
      </w:r>
      <w:r>
        <w:rPr>
          <w:rStyle w:val="NormalCharacter"/>
          <w:b/>
          <w:bdr w:space="31" w:color="000000" w:val="none" w:shadow="1" w:sz="0"/>
          <w:szCs w:val="36"/>
          <w:sz w:val="36"/>
          <w:kern w:val="2"/>
          <w:lang w:val="en-US" w:eastAsia="zh-CN" w:bidi="ar-SA"/>
          <w:rFonts w:ascii="宋体" w:eastAsia="宋体" w:hAnsi="宋体"/>
        </w:rPr>
        <w:t xml:space="preserve">沅江市科工局预算公开表</w:t>
      </w:r>
      <w:r>
        <w:rPr>
          <w:rStyle w:val="NormalCharacter"/>
          <w:b/>
          <w:bdr w:space="31" w:color="000000" w:val="none" w:shadow="1" w:sz="0"/>
          <w:szCs w:val="36"/>
          <w:sz w:val="36"/>
          <w:kern w:val="2"/>
          <w:lang w:val="en-US" w:eastAsia="zh-CN" w:bidi="ar-SA"/>
          <w:rFonts w:ascii="宋体" w:eastAsia="宋体" w:hAnsi="宋体"/>
        </w:rPr>
        <w:t xml:space="preserve">(30)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部门收支总表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部门收入总表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3、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部门支出总体情况表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4、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部门支出总表（按部门预算经济分类）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5、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部门支出总表（按政府预算经济分类）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6、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-工资福利支出（按部门预算经济分类）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7、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-工资福利支出（按政府预算经济分类）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8、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-商品和服务支出（按部门预算经济分类）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9、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-商品和服务支出（按政府预算经济分类）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10、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-对个人和家庭的补助（按部门预算经济分类）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11、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-对个人和家庭的补助（按政府预算经济分类）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12、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财政拨款收支总体情况表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13、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一般公共预算支出情况表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14、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一般公共预算支出情况表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15、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一般公共预算基本支出预算明细表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-工资福利支出（按部门预算经济分类）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16、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一般公共预算基本支出预算明细表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-工资福利支出（按政府预算经济分类）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17、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一般公共预算基本支出预算明细表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-商品和服务支出（按部门预算经济分类）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18、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一般公共预算基本支出预算明细表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-商品和服务支出（按政府预算经济分类）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19、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一般公共预算基本支出预算明细表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-对个人和家庭的补助（按部门预算经济分类）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20、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-对个人和家庭的补助（按政府预算经济分类）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21、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政府性基金拨款预算支出情况表（按部门预算经济分类）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22、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政府性基金拨款预算支出情况表（按政府预算经济分类）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23、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纳入专户管理的非税收入拨款预算支出情况表（按部门预算经济分类）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24、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纳入专户管理的非税收入拨款预算支出情况表（按政府预算经济分类）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25、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经费拨款预算支出情况表（按部门预算经济分类）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26、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经费拨款预算支出情况表（按政府预算经济分类）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27、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专项资金预算汇总表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28、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一般公共预算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“三公”经费预算表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29、 2020年度单位项目支出预算绩效目标申报表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30、 2020年度部门整体支出预算绩效目标申报表</w:t>
      </w:r>
    </w:p>
    <w:p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</w:p>
    <w:sectPr>
      <w:vAlign w:val="top"/>
      <w:type w:val="nextPage"/>
      <w:pgSz w:h="16838" w:w="11906" w:orient="portrait"/>
      <w:pgMar w:gutter="0" w:header="851" w:top="1440" w:bottom="1440" w:footer="992" w:left="1800" w:right="1800"/>
      <w:lnNumType w:countBy="0"/>
      <w:paperSrc w:first="0" w:other="0"/>
      <w:cols w:space="425" w:num="1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20007a87" w:usb1="80000000" w:usb2="00000008" w:usb3="00000000" w:csb0="000001ff" w:csb1="00000000"/>
  </w:font>
  <w:font w:name="宋体">
    <w:altName w:val="宋体"/>
    <w:charset w:val="86"/>
    <w:family w:val="auto"/>
    <w:panose1 w:val="02010600030101010101"/>
    <w:pitch w:val="default"/>
    <w:sig w:usb0="00000003" w:usb1="288f0000" w:usb2="00000006" w:usb3="00000000" w:csb0="00040001" w:csb1="00000000"/>
  </w:font>
  <w:font w:name="Wingdings">
    <w:altName w:val="Wingdings"/>
    <w:charset w:val="02"/>
    <w:family w:val="auto"/>
    <w:panose1 w:val="05000000000000000000"/>
    <w:pitch w:val="default"/>
    <w:sig w:usb0="00000000" w:usb1="00000000" w:usb2="00000000" w:usb3="00000000" w:csb0="80000000" w:csb1="00000000"/>
  </w:font>
  <w:font w:name="Calibri">
    <w:altName w:val="Calibri"/>
    <w:charset w:val="00"/>
    <w:family w:val="swiss"/>
    <w:panose1 w:val="020f0502020204030204"/>
    <w:pitch w:val="default"/>
    <w:sig w:usb0="a00002ef" w:usb1="4000207b" w:usb2="00000000" w:usb3="00000000" w:csb0="2000009f" w:csb1="00000000"/>
  </w:font>
  <w:font w:name="Cambria">
    <w:altName w:val="Cambria"/>
    <w:charset w:val="00"/>
    <w:family w:val="auto"/>
    <w:panose1 w:val="02040503050406030204"/>
    <w:pitch w:val="default"/>
    <w:sig w:usb0="a00002ef" w:usb1="4000004b" w:usb2="00000000" w:usb3="00000000" w:csb0="2000009f" w:csb1="00000000"/>
  </w:font>
</w:fonts>
</file>

<file path=word/settings.xml><?xml version="1.0" encoding="utf-8"?>
<w:settings xmlns:w="http://schemas.openxmlformats.org/wordprocessingml/2006/main">
  <w:zoom w:percent="100"/>
  <w:embedSystemFonts/>
  <w:stylePaneFormatFilter w:val="5024"/>
  <w:defaultTabStop w:val="420"/>
  <w:displayHorizontalDrawingGridEvery w:val="1"/>
  <w:displayVerticalDrawingGridEvery w:val="1"/>
  <w:doNotUseMarginsForDrawingGridOrigin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  <w:doNotUseEastAsianBreakRules/>
    <w:doNotWrapTextWithPunct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  <w:rFonts w:ascii="Calibri" w:eastAsia="宋体" w:hAnsi="Calibri"/>
      </w:rPr>
      <w:jc w:val="both"/>
      <w:textAlignment w:val="baseline"/>
    </w:pPr>
    <w:rPr>
      <w:szCs w:val="24"/>
      <w:sz w:val="21"/>
      <w:kern w:val="2"/>
      <w:lang w:val="en-US" w:eastAsia="zh-CN" w:bidi="ar-SA"/>
      <w:rFonts w:ascii="Calibri" w:eastAsia="宋体" w:hAnsi="Calibri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  <w:style w:type="character" w:styleId="Hyperlink">
    <w:name w:val="Hyperlink"/>
    <w:basedOn w:val="NormalCharacter"/>
    <w:next w:val="Hyperlink"/>
    <w:link w:val="Normal"/>
    <w:rPr>
      <w:color w:val="0000FF"/>
    </w:rPr>
  </w:style>
  <w:style w:type="character" w:styleId="FollowedHyperlink">
    <w:name w:val="FollowedHyperlink"/>
    <w:basedOn w:val="NormalCharacter"/>
    <w:next w:val="FollowedHyperlink"/>
    <w:link w:val="Normal"/>
    <w:rPr>
      <w:color w:val="800080"/>
    </w:rPr>
  </w:style>
  <w:style w:type="character" w:styleId="UserStyle_0">
    <w:name w:val="UserStyle_0"/>
    <w:basedOn w:val="NormalCharacter"/>
    <w:next w:val="UserStyle_0"/>
    <w:link w:val="Normal"/>
    <w:rPr>
      <w:shd w:color="auto" w:val="clear" w:fill="B40609"/>
    </w:rPr>
  </w:style>
  <w:style w:type="paragraph" w:styleId="HtmlNormal">
    <w:name w:val="HtmlNormal"/>
    <w:basedOn w:val="Normal"/>
    <w:next w:val="HtmlNormal"/>
    <w:link w:val="Normal"/>
    <w:pPr>
      <w:rPr>
        <w:szCs w:val="24"/>
        <w:sz w:val="24"/>
        <w:kern w:val="2"/>
        <w:lang w:val="en-US" w:eastAsia="zh-CN" w:bidi="ar-SA"/>
        <w:rFonts w:ascii="Calibri" w:eastAsia="宋体" w:hAnsi="Calibri"/>
      </w:rPr>
      <w:jc w:val="both"/>
      <w:textAlignment w:val="baseline"/>
    </w:pPr>
    <w:rPr>
      <w:szCs w:val="24"/>
      <w:sz w:val="24"/>
      <w:kern w:val="2"/>
      <w:lang w:val="en-US" w:eastAsia="zh-CN" w:bidi="ar-SA"/>
      <w:rFonts w:ascii="Calibri" w:eastAsia="宋体" w:hAnsi="Calibri"/>
    </w:r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ascii="Calibri" w:eastAsia="宋体" w:hAnsi="Calibri"/>
        </w:rPr>
        <w:widowControl/>
        <w:ind w:left="0" w:right="0"/>
        <w:spacing w:beforeAutospacing="true" w:after="0"/>
        <w:jc w:val="center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/>
          <w:bdr w:space="31" w:color="000000" w:val="none" w:shadow="1" w:sz="0"/>
          <w:szCs w:val="48"/>
          <w:sz w:val="48"/>
          <w:kern w:val="2"/>
          <w:lang w:val="en-US" w:eastAsia="zh-CN"/>
          <w:rFonts w:ascii="宋体" w:eastAsia="宋体" w:hAnsi="宋体"/>
        </w:rPr>
        <w:t xml:space="preserve">目</w:t>
      </w:r>
      <w:r>
        <w:rPr>
          <w:rStyle w:val="NormalCharacter"/>
          <w:b/>
          <w:bdr w:space="31" w:color="000000" w:val="none" w:shadow="1" w:sz="0"/>
          <w:szCs w:val="48"/>
          <w:sz w:val="48"/>
          <w:kern w:val="2"/>
          <w:lang w:val="en-US" w:eastAsia="zh-CN"/>
          <w:rFonts w:ascii="Cambria" w:eastAsia="宋体" w:hAnsi="Calibri"/>
        </w:rPr>
        <w:t xml:space="preserve">  </w:t>
      </w:r>
      <w:r>
        <w:rPr>
          <w:rStyle w:val="NormalCharacter"/>
          <w:b/>
          <w:bdr w:space="31" w:color="000000" w:val="none" w:shadow="1" w:sz="0"/>
          <w:szCs w:val="48"/>
          <w:sz w:val="48"/>
          <w:kern w:val="2"/>
          <w:lang w:val="en-US" w:eastAsia="zh-CN"/>
          <w:rFonts w:ascii="宋体" w:eastAsia="宋体" w:hAnsi="宋体"/>
        </w:rPr>
        <w:t xml:space="preserve">录</w:t>
      </w:r>
    </w:p>
    <w:p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ascii="Calibri" w:eastAsia="宋体" w:hAnsi="Calibri"/>
        </w:rPr>
        <w:widowControl/>
        <w:ind w:left="0" w:right="0"/>
        <w:spacing w:beforeAutospacing="true" w:after="0"/>
        <w:jc w:val="left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44"/>
          <w:sz w:val="44"/>
          <w:kern w:val="2"/>
          <w:lang w:val="en-US" w:eastAsia="zh-CN"/>
          <w:rFonts w:ascii="宋体" w:eastAsia="宋体" w:hAnsi="宋体"/>
        </w:rPr>
        <w:t xml:space="preserve"> 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72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/>
          <w:bdr w:space="31" w:color="000000" w:val="none" w:shadow="1" w:sz="0"/>
          <w:szCs w:val="36"/>
          <w:sz w:val="36"/>
          <w:kern w:val="2"/>
          <w:lang w:val="en-US" w:eastAsia="zh-CN" w:bidi="ar-SA"/>
          <w:rFonts w:ascii="宋体" w:eastAsia="宋体" w:hAnsi="宋体"/>
        </w:rPr>
        <w:t xml:space="preserve">一、 2020年沅江市市场服务中心</w:t>
      </w:r>
      <w:r>
        <w:rPr>
          <w:rStyle w:val="NormalCharacter"/>
          <w:b/>
          <w:bdr w:space="31" w:color="000000" w:val="none" w:shadow="1" w:sz="0"/>
          <w:szCs w:val="36"/>
          <w:sz w:val="36"/>
          <w:kern w:val="2"/>
          <w:lang w:val="en-US" w:eastAsia="zh-CN" w:bidi="ar-SA"/>
          <w:rFonts w:ascii="宋体" w:eastAsia="宋体" w:hAnsi="宋体"/>
        </w:rPr>
        <w:t xml:space="preserve">预算编制说明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72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/>
          <w:bdr w:space="31" w:color="000000" w:val="none" w:shadow="1" w:sz="0"/>
          <w:szCs w:val="36"/>
          <w:sz w:val="36"/>
          <w:kern w:val="2"/>
          <w:lang w:val="en-US" w:eastAsia="zh-CN" w:bidi="ar-SA"/>
          <w:rFonts w:ascii="宋体" w:eastAsia="宋体" w:hAnsi="宋体"/>
        </w:rPr>
        <w:t xml:space="preserve">二、 2020年</w:t>
      </w:r>
      <w:r>
        <w:rPr>
          <w:rStyle w:val="NormalCharacter"/>
          <w:b/>
          <w:bdr w:space="31" w:color="000000" w:val="none" w:shadow="1" w:sz="0"/>
          <w:szCs w:val="36"/>
          <w:sz w:val="36"/>
          <w:kern w:val="2"/>
          <w:lang w:val="en-US" w:eastAsia="zh-CN" w:bidi="ar-SA"/>
          <w:rFonts w:ascii="宋体" w:eastAsia="宋体" w:hAnsi="宋体"/>
        </w:rPr>
        <w:t xml:space="preserve">沅江市市场服务中心预算公开表</w:t>
      </w:r>
      <w:r>
        <w:rPr>
          <w:rStyle w:val="NormalCharacter"/>
          <w:b/>
          <w:bdr w:space="31" w:color="000000" w:val="none" w:shadow="1" w:sz="0"/>
          <w:szCs w:val="36"/>
          <w:sz w:val="36"/>
          <w:kern w:val="2"/>
          <w:lang w:val="en-US" w:eastAsia="zh-CN" w:bidi="ar-SA"/>
          <w:rFonts w:ascii="宋体" w:eastAsia="宋体" w:hAnsi="宋体"/>
        </w:rPr>
        <w:t xml:space="preserve">(30)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部门收支总表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部门收入总表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3、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部门支出总体情况表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4、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部门支出总表（按部门预算经济分类）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5、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部门支出总表（按政府预算经济分类）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6、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-工资福利支出（按部门预算经济分类）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7、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-工资福利支出（按政府预算经济分类）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8、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-商品和服务支出（按部门预算经济分类）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9、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-商品和服务支出（按政府预算经济分类）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10、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-对个人和家庭的补助（按部门预算经济分类）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11、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-对个人和家庭的补助（按政府预算经济分类）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12、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财政拨款收支总体情况表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13、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一般公共预算支出情况表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14、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一般公共预算支出情况表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15、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一般公共预算基本支出预算明细表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-工资福利支出（按部门预算经济分类）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16、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一般公共预算基本支出预算明细表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-工资福利支出（按政府预算经济分类）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17、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一般公共预算基本支出预算明细表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-商品和服务支出（按部门预算经济分类）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18、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一般公共预算基本支出预算明细表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-商品和服务支出（按政府预算经济分类）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19、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一般公共预算基本支出预算明细表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-对个人和家庭的补助（按部门预算经济分类）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20、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基本支出预算明细表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-对个人和家庭的补助（按政府预算经济分类）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21、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政府性基金拨款预算支出情况表（按部门预算经济分类）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22、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政府性基金拨款预算支出情况表（按政府预算经济分类）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23、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纳入专户管理的非税收入拨款预算支出情况表（按部门预算经济分类）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24、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纳入专户管理的非税收入拨款预算支出情况表（按政府预算经济分类）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25、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经费拨款预算支出情况表（按部门预算经济分类）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26、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经费拨款预算支出情况表（按政府预算经济分类）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27、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专项资金预算汇总表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28、 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一般公共预算</w:t>
      </w: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“三公”经费预算表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29、 2020年度单位项目支出预算绩效目标申报表</w:t>
      </w:r>
    </w:p>
    <w:p>
      <w:pPr>
        <w:pStyle w:val="HtmlNormal"/>
        <w:rPr>
          <w:rStyle w:val="NormalCharacter"/>
          <w:szCs w:val="24"/>
          <w:sz w:val="24"/>
          <w:kern w:val="2"/>
          <w:lang w:val="en-US" w:eastAsia="zh-CN" w:bidi="ar-SA"/>
          <w:rFonts w:ascii="Calibri" w:eastAsia="宋体" w:hAnsi="Calibri"/>
        </w:rPr>
        <w:widowControl/>
        <w:ind w:left="1200" w:firstLineChars="0" w:right="0"/>
        <w:spacing w:beforeAutospacing="true" w:after="0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bdr w:space="31" w:color="000000" w:val="none" w:shadow="1" w:sz="0"/>
          <w:szCs w:val="32"/>
          <w:sz w:val="32"/>
          <w:kern w:val="2"/>
          <w:lang w:val="en-US" w:eastAsia="zh-CN" w:bidi="ar-SA"/>
          <w:rFonts w:ascii="宋体" w:eastAsia="宋体" w:hAnsi="宋体"/>
        </w:rPr>
        <w:t xml:space="preserve">30、 2020年度部门整体支出预算绩效目标申报表</w:t>
      </w:r>
    </w:p>
    <w:p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</w:p>
    <w:sectPr>
      <w:vAlign w:val="top"/>
      <w:type w:val="nextPage"/>
      <w:pgSz w:h="16838" w:w="11906" w:orient="portrait"/>
      <w:pgMar w:gutter="0" w:header="851" w:top="1440" w:bottom="1440" w:footer="992" w:left="1800" w:right="1800"/>
      <w:lnNumType w:countBy="0"/>
      <w:paperSrc w:first="0" w:other="0"/>
      <w:cols w:space="425" w:num="1"/>
      <w:docGrid w:charSpace="0" w:linePitch="312" w:type="lines"/>
    </w:sectPr>
  </w:body>
</w:document>
</file>

<file path=treport/opRecord.xml>p_2(0);p_3(0);
</file>