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市委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编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办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/>
      </w: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 </w:t>
      </w: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00007a87" w:usb1="80000000" w:usb2="00000008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方正小标宋_GBK">
    <w:altName w:val="微软雅黑"/>
    <w:charset w:val="00"/>
    <w:family w:val="auto"/>
    <w:panose1 w:val="00000000000000000000"/>
    <w:pitch w:val="default"/>
    <w:sig w:usb0="00000000" w:usb1="00000000" w:usb2="00000000" w:usb3="00000000" w:csb0="00000000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黑体">
    <w:altName w:val="黑体"/>
    <w:charset w:val="86"/>
    <w:family w:val="auto"/>
    <w:panose1 w:val="02010600030101010101"/>
    <w:pitch w:val="default"/>
    <w:sig w:usb0="800002bf" w:usb1="38cf7cfa" w:usb2="00000016" w:usb3="00000000" w:csb0="00040001" w:csb1="00000000"/>
  </w:font>
  <w:font w:name="楷体">
    <w:altName w:val="楷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Times New Roman">
    <w:altName w:val="Times New Roman"/>
    <w:charset w:val="cc"/>
    <w:family w:val="roman"/>
    <w:panose1 w:val="02020603050405020304"/>
    <w:pitch w:val="default"/>
    <w:sig w:usb0="00007a87" w:usb1="80000000" w:usb2="00000008" w:usb3="00000000" w:csb0="400001ff" w:csb1="00000000"/>
  </w:font>
  <w:font w:name="Arial">
    <w:altName w:val="Arial"/>
    <w:charset w:val="01"/>
    <w:family w:val="swiss"/>
    <w:panose1 w:val="020b0604020202020204"/>
    <w:pitch w:val="default"/>
    <w:sig w:usb0="00007a87" w:usb1="80000000" w:usb2="00000008" w:usb3="00000000" w:csb0="400001f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de06c659"/>
    <w:multiLevelType w:val="singleLevel"/>
    <w:tmpl w:val="de06c659"/>
    <w:lvl w:ilvl="0">
      <w:start w:val="2"/>
      <w:numFmt w:val="chineseCounting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7872aa2e"/>
    <w:multiLevelType w:val="singleLevel"/>
    <w:tmpl w:val="7872aa2e"/>
    <w:lvl w:ilvl="0">
      <w:start w:val="2"/>
      <w:numFmt w:val="decimal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12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eastAsia="宋体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eastAsia="宋体"/>
    </w:rPr>
  </w:style>
  <w:style w:type="paragraph" w:styleId="179">
    <w:name w:val="179"/>
    <w:basedOn w:val="Normal"/>
    <w:next w:val="179"/>
    <w:link w:val="Normal"/>
    <w:pPr>
      <w:ind w:firstLine="420" w:firstLineChars="200"/>
      <w:jc w:val="both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市委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编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办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（一）</w:t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>工作职责</w:t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市委机构编制委员会办公室是市委机构编制委员会的常设办事机构，承担市委编委日常工作，作为市委工作机关，归口组织部管理。主要职责：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(1)贯彻执行党中央、省委、益阳市委、沅江市委和市委编委关于机构编制工作的政策法规制度，拟订全市机构编制管理规范性文件并组织实施，落实机构编制法定化要求。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(2)拟订全市机构改革、事业单位改革、行政体制改革方案草案，经批准后组织实施。    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(3)承担全市各级党委、人大、政府、政协、监委机关、工商联、群众团体机关和事业单位机构编制管理的具体组织实施工作。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(4)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承担全市各部门职能配置及调整工作，协调部门之间、部门与镇（街道）之间职责分工；审核机关事业单位职能配置、内设机构和人员编制规定（简称“三定”规定）；审定股级事业单位机构编制事项。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(5)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科级（含副科级，下同）机构设置和调整及科级领导职数设置和调整等审核报批工作；审核全市股级事业单位设置；审定全市科级机构的内设机构、股级事业单位调整、股级领导职数在限额内的设置和调整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(6)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承担全市行政编制、事业编制总量管理工作。拟订全市行政事业编制总量控制和分配方案；拟订机关事业单位行政事业编制分配和调整方案。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(7)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承担全市机构编制实名制管理工作，审核纳入市级财政统一发放工资的机关事业单位人员编制性质、数量、实有人数和领导职数；会同有关部门健全完善机构编制、人员与财政预算相结合管理机制。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(8)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拟订全市事业单位登记管理的规范性文件并组织实施；依法对事业单位进行登记管理；指导、协调和监督全市事业单位登记管理工作；承担市本级机关群团组织统一社会信用代码赋码工作。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(9)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对全市各级各部门执行机构编制政策法规、机构改革方案、“三定”规定情况的监督检查和评估工作；受理违反机构编制管理规定问题的举报，会同有关部门查处机构编制违法违纪行为；承担全市机构编制统计、网上名称管理工作；指导全市机构编制系统信息化建设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(10)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完成市委、市委编委交办的其他任务。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（二）部门预算单位构成。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市委编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办内设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办公室、登记管理股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个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职能科室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核定行政编制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7人，实有职工5人。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（三）部门预算人员构成。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截止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年1月，我办纳入预算编制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人，其中：公务员及参公人员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人；离退休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二、预算情况说明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（一）预算编制情况。按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年预算总收入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。其中：一般公共预算拨款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纳入公共预算管理的非税拨款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万元，政府性基金拨款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万元，纳入专户管理的非税收入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万元，事业单位经营收入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万元，其他收入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收入较去年减少24.78千元，主要是根据市委要求，全市单位财政专项预算整体缩减。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支出预算：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年单位预算支出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按支出项目类分：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(含)，公用经费支出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按支出功能科目分：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418.42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2013102一般行政管理事务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住房公积金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38.69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按支出经济科目分：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年全年收支预算平衡。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2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其他重要事项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机关运行经费执行情况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年单位的机关运行经费当年一般公共预算拨款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元，比20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24.78千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降幅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3.12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%。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原因为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“三公”经费情况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年，我办“三公”经费预算数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，其中：公务接待费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其中：公务接待费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10千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元，公务用车购置费用0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元，公务用车运行维护费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政府采购情况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年我办安排政府采购预算0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shd w:color="auto" w:val="clear" w:fill="FFFFFF"/>
        <w:ind w:leftChars="0" w:rightChars="0" w:left="630" w:right="0"/>
        <w:spacing w:line="540" w:after="0" w:before="0" w:lineRule="atLeast"/>
        <w:jc w:val="both"/>
        <w:textAlignment w:val="baseline"/>
        <w:numPr>
          <w:ilvl w:val="0"/>
          <w:numId w:val="0"/>
        </w:numPr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4.国有资产占用使用情况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截止201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9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年12月3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日，我单位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无公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有车辆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预算绩效评估情况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2020年度，我办整体支出和项目支出实行绩效目标管理，纳入2020年部门整体支出绩效目标的金额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千元，其中，基本支出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p>
      <w:pPr>
        <w:pStyle w:val="Normal"/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idowControl/>
        <w:wordWrap/>
        <w:snapToGrid w:val="0"/>
        <w:ind w:firstLine="640" w:left="0" w:firstLineChars="200"/>
        <w:spacing w:line="560" w:lineRule="exact"/>
        <w:jc w:val="left"/>
        <w:textAlignment w:val="auto"/>
      </w:pP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三</w:t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、名词解释</w:t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560" w:firstLineChars="200"/>
        <w:jc w:val="left"/>
        <w:textAlignment w:val="auto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>　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．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　　2．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p_13(0|D,0|D,14mpValue|null,15mpValue|null,16mpValue|null,17mpValue|null,18mpValue|null,19mpValue|null,20mpValue|null,21mpValue|null,22mpValue|null,23mpValue|null,24mpValue|null,25mpValue|null);p_14|D;p_15|D;p_16|D;p_17|D;p_18|D;p_19|D;p_20|D;p_21|D;p_22|D;p_23|D;p_24|D;p_25|D;p_26(0|D,27mpValue|null,28mpValue|null,29mpValue|null,30mpValue|null,31mpValue|null,32mpValue|null,33mpValue|null,34mpValue|null,35mpValue|null,36mpValue|null,37mpValue|null,38mpValue|null,39mpValue|null,40mpValue|null,41mpValue|null,42mpValue|null,43mpValue|null,44mpValue|null,45mpValue|null,46mpValue|null,47mpValue|null,48mpValue|null,49mpValue|null,50mpValue|null,51mpValue|null,52mpValue|null,53mpValue|null,54mpValue|null,55mpValue|null,56mpValue|null,57mpValue|null,58mpValue|null,59mpValue|null,60mpValue|null);p_27|D;p_28|D;p_29|D;p_30|D;p_31|D;p_32|D;p_33|D;p_34|D;p_35|D;p_36|D;p_37|D;p_38|D;p_39|D;p_40|D;p_41|D;p_42|D;p_43|D;p_44|D;p_45|D;p_46|D;p_47|D;p_48|D;p_49|D;p_50|D;p_51|D;p_52|D;p_53|D;p_54|D;p_55|D;p_56|D;p_57|D;p_58|D;p_59|D;p_60|D;p_61(0,62mpValue|null);p_62|D;
</file>