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45"/>
          <w:szCs w:val="45"/>
          <w:shd w:val="clear" w:fill="FFFFFF"/>
        </w:rPr>
      </w:pPr>
      <w:r>
        <w:rPr>
          <w:rFonts w:ascii="微软雅黑" w:hAnsi="微软雅黑" w:eastAsia="微软雅黑" w:cs="微软雅黑"/>
          <w:b/>
          <w:i w:val="0"/>
          <w:caps w:val="0"/>
          <w:color w:val="000000"/>
          <w:spacing w:val="0"/>
          <w:sz w:val="45"/>
          <w:szCs w:val="45"/>
          <w:shd w:val="clear" w:fill="FFFFFF"/>
        </w:rPr>
        <w:t>沅江市委政法委2019年部门决算说明及决算公示表</w:t>
      </w:r>
    </w:p>
    <w:p>
      <w:pPr>
        <w:rPr>
          <w:rFonts w:ascii="微软雅黑" w:hAnsi="微软雅黑" w:eastAsia="微软雅黑" w:cs="微软雅黑"/>
          <w:b/>
          <w:i w:val="0"/>
          <w:caps w:val="0"/>
          <w:color w:val="000000"/>
          <w:spacing w:val="0"/>
          <w:sz w:val="45"/>
          <w:szCs w:val="45"/>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ascii="Calibri" w:hAnsi="Calibri" w:cs="Calibri"/>
          <w:i w:val="0"/>
          <w:caps w:val="0"/>
          <w:color w:val="333333"/>
          <w:spacing w:val="0"/>
          <w:sz w:val="21"/>
          <w:szCs w:val="21"/>
        </w:rPr>
      </w:pPr>
      <w:r>
        <w:rPr>
          <w:rFonts w:ascii="黑体" w:hAnsi="宋体" w:eastAsia="黑体" w:cs="黑体"/>
          <w:i w:val="0"/>
          <w:caps w:val="0"/>
          <w:color w:val="333333"/>
          <w:spacing w:val="0"/>
          <w:sz w:val="32"/>
          <w:szCs w:val="32"/>
          <w:bdr w:val="none" w:color="auto" w:sz="0" w:space="0"/>
          <w:shd w:val="clear" w:fill="FFFFFF"/>
        </w:rPr>
        <w:t>第一部分</w:t>
      </w:r>
      <w:r>
        <w:rPr>
          <w:rFonts w:hint="eastAsia" w:ascii="黑体" w:hAnsi="宋体" w:eastAsia="黑体" w:cs="黑体"/>
          <w:i w:val="0"/>
          <w:caps w:val="0"/>
          <w:color w:val="333333"/>
          <w:spacing w:val="0"/>
          <w:sz w:val="32"/>
          <w:szCs w:val="32"/>
          <w:bdr w:val="none" w:color="auto" w:sz="0" w:space="0"/>
          <w:shd w:val="clear" w:fill="FFFFFF"/>
        </w:rPr>
        <w:t>  沅江市委政法委概况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ascii="楷体" w:hAnsi="楷体" w:eastAsia="楷体" w:cs="楷体"/>
          <w:b/>
          <w:i w:val="0"/>
          <w:caps w:val="0"/>
          <w:color w:val="333333"/>
          <w:spacing w:val="0"/>
          <w:sz w:val="32"/>
          <w:szCs w:val="32"/>
          <w:bdr w:val="none" w:color="auto" w:sz="0" w:space="0"/>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caps w:val="0"/>
          <w:color w:val="333333"/>
          <w:spacing w:val="0"/>
          <w:sz w:val="21"/>
          <w:szCs w:val="21"/>
        </w:rPr>
      </w:pPr>
      <w:r>
        <w:rPr>
          <w:rFonts w:ascii="仿宋" w:hAnsi="仿宋" w:eastAsia="仿宋" w:cs="仿宋"/>
          <w:i w:val="0"/>
          <w:caps w:val="0"/>
          <w:color w:val="333333"/>
          <w:spacing w:val="0"/>
          <w:sz w:val="32"/>
          <w:szCs w:val="32"/>
          <w:bdr w:val="none" w:color="auto" w:sz="0" w:space="0"/>
          <w:shd w:val="clear" w:fill="FFFFFF"/>
        </w:rPr>
        <w:t>沅江市委政法委贯彻落实党中央关于政法工作的方针政策和决策部署以及省委、益阳市委、沅江市委的部署要求，在履行职责过程中坚持和加强党对政法工作的集中统一领导。主要职责任务是：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（一）贯彻习近平新时代中国特色社会主义思想，坚持党对政法工作的绝对领导，坚决执行党的路线方针政策和党中央重大决策部署，推动完善和落实政治轮训和政治督察制度。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（二）贯彻党中央以及上级党组织决定，研究协调政法单位之间、政法单位和有关部门、地方之间有关重大事项，统一政法单位思想和行动。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（三）加强对政法领域重大实践和理论问题调查研究，提出重大决策部署和改革措施的意见和建议，协助党委决策和统筹推进政法改革等各项工作。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反暴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（五）加强对政法工作的督查，统筹协调社会治安综合治理、维护社会稳定、反邪教、反暴恐等有关国家法律法规和政策的实施工作。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七）指导和推动政法单位党的建设和政法队伍建设，协助党委及其组织部门加强政法单位领导班子和干部队伍建设，协助党委和纪检监察机关做好监督检查、审查调查工作，派员列席同级政法单位党组（党委）民主生活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八）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（九）掌握分析政法舆情动态，指导和协调政法单位和有关部门做好依法办理、宣传报道和舆论引导等相关工作。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（十）完成党委和上级党委政法委员会交办的其他任务。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根据编委核定，政法委内设股室5个：办公室、维稳指导室、综治指导室、反邪教协调室和执法监督室，纳入部门预算编制34人。其中：实有在职人员15人(含纪检组4人)，离退休人员19人，遗属1人，全部纳入2019年部门预算编制范围。沅江市法学会办公室为市委政法委所属股级公益一类事业单位，核定全额事业编制3名，设主任1名，主要职责是承担市法学会日常工作，组织研究加强全市法学会发展的具体措施，向市法学会提出工作建议，牵头建立健全工作联系机制和各项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第二部分 沅江市政法委2019年度部门决算表（见附表）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第三部分 沅江市政法委2019年度部门决算情况说明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一、收入支出决算总体情况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2019年度收、支总计770.14万元，与2018年相比，收、支总计增加166.68万元，增长27.62%。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2019年收入326.82万元，其中：一般公共预算拨款收入324.52万元，比上年减少37.68%。占本年总收入99.30%。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本年支出合计443.32万元，其中：基本支出229.72万元，占本年总支出51.82%。项目支出213.61万元，占本年总支出48.12%。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2019年度财政拨款收、支总计765.54，万元，与2018年相比，财政拨款收、支总计各增加162.08万元，增长26.86%。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（一）一般公共预算拨款支出总体情况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2019年度财政拨款支出441.02，万元，占本年支出合计的99.48%。与2018年度相比，比上年增加42.29万元，增加10.6%。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（二）一般公共预算拨款支出决算结构情况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一般公共预算拨款支出441.02万元，主要用于以下方面：一般公共服务支出399.1万元，占90.49%。公共安全支出30万元，占6.80%。住房保障支出11.92万元，占2.71%。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（三）一般公共预算拨款支出决算具体情况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度一般公共预算拨款支出决算为441.02万元，按经济分类：工资福利支出213.93万元，比上年增加0.44%。商品和服务支出11.21，万元，比上年减少84.60%。对个人和家庭的补助4.58万元，比上年减少0%。项目支出211.31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2019年度一般公共预算财政拨款基本支出229.72万元。其中: 人员经费218.51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11.21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七、一般公共预算财政拨款“三公”经费决算情况说明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2019年本单位没有使用一般公共预算财政拨款安排的“三公”经费支出。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Calibri" w:hAnsi="Calibri" w:cs="Calibri"/>
          <w:i w:val="0"/>
          <w:caps w:val="0"/>
          <w:color w:val="333333"/>
          <w:spacing w:val="0"/>
          <w:sz w:val="21"/>
          <w:szCs w:val="21"/>
        </w:rPr>
      </w:pPr>
      <w:r>
        <w:rPr>
          <w:rFonts w:hint="eastAsia" w:ascii="楷体" w:hAnsi="楷体" w:eastAsia="楷体" w:cs="楷体"/>
          <w:b/>
          <w:i w:val="0"/>
          <w:caps w:val="0"/>
          <w:color w:val="333333"/>
          <w:spacing w:val="0"/>
          <w:sz w:val="32"/>
          <w:szCs w:val="32"/>
          <w:bdr w:val="none" w:color="auto" w:sz="0" w:space="0"/>
          <w:shd w:val="clear" w:fill="FFFFFF"/>
        </w:rPr>
        <w:t>八、政府性基金预算收入支出决算情况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2019年本单位没有使用政府性基金预算拨款安排的支出。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财政拨款收入：指本级财政当年拨付的资金。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上年结转和结余：指以前年度尚未完成、结转到本年按有关规定继续使用的资金。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公共安全支出（类）：是指用于内卫、消防等武装警察部队的支出，包括保障机构正常运转、完成日常和特定的工作任务或事业发展目标的支出。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住房保障支出（类）：是指用于住房方面的支出，包括保障机构正常运转、完成日常和特定的工作任务或事业发展目标的支出。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基本支出：指保障机构正常运转、完成支日常工作任务而发生的人员支出和公用支出。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工资福利支出：反映单位开支的在职职工和编制外长期聘用人员的各类劳动报酬，以及为上述人员缴纳的各项社会保险费等。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奖金：反映机关工作人员年终一次性奖金。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伙食补助费：反映单位发给职工的伙食补助费，如误餐补助等。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机关事业单位基本养老保险缴费：反映机关事业单位缴纳的基本养老保险费。由单位代扣的工作人员基本养老保险缴费，不在此科目反映。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职工基本医疗保险缴费：反映单位为职工缴纳的基本医疗保险费。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其他社会保障缴费：反映单位为职工缴纳的基本医疗、失业、工伤、生育等社会保险费，残疾人就业保障金，军队（含武警）为军人缴纳的伤亡、退役医疗等社会保险费。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住房公积金：反映行政事业单位按人力资源和社会保障部、财政部规定的基本工资和津贴补贴以及规定比例为职工缴纳的住房公积金。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商品和服务支出：反映单位购买商品和服务的支出（不包括用于购置固定资产的支出、战略性和应急储备支出）。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办公费：反映单位购买按财务会计制度规定不符合固定资产确认标准的日常办公用品、书报杂志等支出。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印刷费：反映单位的印刷费支出。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电费：反映单位的电费支出。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邮电费：反映单位开支的信函、包裹、货物等物品的邮寄费及电话费、电报费、传真费、网络通讯费等。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差旅费：反映单位工作人员出差发生的城市间交通费、住宿费、伙食补贴费和市内交通费。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维修(护)费：反映单位日常开支的固定资产（不包括车船等交通工具）修理和维护费用，网络信息系统运行与维护费用，以及按规定提取的修购基金。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租赁费：反映租赁办公用房、宿舍、专用通讯网以及其他设备等方面的费用。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会议费：反映会议中按规定开支的住宿费、伙食费、会议室租金、交通费、文件印刷费、医药费等。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培训费：反映除因公出国（境）培训费以外的各类培训支出。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劳务费：反映支付给单位和个人的劳务费用，如临时聘用人员、钟点工工资，稿费、翻译费，评审费等。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委托业务费：反映因委托外单位办理业务而支付的委托业务费。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其他交通费用：反映单位除公务用车运行维护费以外的其他交通费用。如公务交通补贴，租车费用、出租车费用，飞机、船舶等的燃料费、维修费、保险费等。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其他商品和服务支出：反映上述科目未包括的日常公用支出。如行政赔偿费和诉讼费、国内组织的会员费、来访费、广告宣传、其他劳务费及离休人员特需费、公用经费等。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对个人和家庭的补助：反映政府用于对个人和家庭的补助支出。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退休费：反映行政事业单位和军队移交政府安置的退休人员的退休费和其他补贴。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抚恤金：反映按规定开支的烈士遗属、牺牲病故人员遗属的一次性和定期抚恤金，伤残人员的抚恤金，离退休人员等其他人员的各项抚恤金。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奖励金：反映政府各部门的奖励支出，如对个体私营经济的奖励、计划生育目标责任奖励、独生子女父母奖励等。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其他资本性支出：反映发展与改革部门以外的其他部门安排的用于购置固定资产、战略性和应急性储备、土地和无形资产，以及购建基础设施、大型修缮和财政支持企业更新改造所发生的支出。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办公设备购置：反映用于购置并按财务会计制度规定纳入固定资产核算范围的办公家具和办公设备的支出，以及按规定提取的修购基金。</w:t>
      </w:r>
    </w:p>
    <w:p>
      <w:pPr>
        <w:rPr>
          <w:rFonts w:ascii="微软雅黑" w:hAnsi="微软雅黑" w:eastAsia="微软雅黑" w:cs="微软雅黑"/>
          <w:b/>
          <w:i w:val="0"/>
          <w:caps w:val="0"/>
          <w:color w:val="000000"/>
          <w:spacing w:val="0"/>
          <w:sz w:val="45"/>
          <w:szCs w:val="45"/>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B3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2020-09-29T21:31:56Z</dcterms:created>
  <dc:creator>Administrator</dc:creator>
  <cp:lastModifiedBy>文虚空圣</cp:lastModifiedBy>
  <dcterms:modified xsi:type="dcterms:W3CDTF">2020-09-29T21:32:27Z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