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62" w:rsidRDefault="00C14962">
      <w:pPr>
        <w:pStyle w:val="a3"/>
        <w:shd w:val="clear" w:color="auto" w:fill="FFFFFF"/>
        <w:spacing w:before="0" w:beforeAutospacing="0" w:after="0" w:afterAutospacing="0" w:line="480" w:lineRule="exact"/>
        <w:jc w:val="center"/>
        <w:rPr>
          <w:rFonts w:ascii="Arial" w:hAnsi="Arial" w:cs="Arial"/>
          <w:color w:val="333333"/>
          <w:sz w:val="44"/>
          <w:szCs w:val="44"/>
        </w:rPr>
      </w:pPr>
    </w:p>
    <w:p w:rsidR="002038C6" w:rsidRDefault="00DE2DA6">
      <w:pPr>
        <w:pStyle w:val="a3"/>
        <w:shd w:val="clear" w:color="auto" w:fill="FFFFFF"/>
        <w:spacing w:before="0" w:beforeAutospacing="0" w:after="0" w:afterAutospacing="0" w:line="480" w:lineRule="exact"/>
        <w:jc w:val="center"/>
        <w:rPr>
          <w:rFonts w:ascii="Arial" w:hAnsi="Arial" w:cs="Arial"/>
          <w:color w:val="333333"/>
          <w:sz w:val="44"/>
          <w:szCs w:val="44"/>
        </w:rPr>
      </w:pPr>
      <w:r>
        <w:rPr>
          <w:rFonts w:ascii="Arial" w:hAnsi="Arial" w:cs="Arial" w:hint="eastAsia"/>
          <w:color w:val="333333"/>
          <w:sz w:val="44"/>
          <w:szCs w:val="44"/>
        </w:rPr>
        <w:t>沅江市</w:t>
      </w:r>
      <w:bookmarkStart w:id="0" w:name="_GoBack"/>
      <w:bookmarkEnd w:id="0"/>
      <w:r w:rsidR="002649B3">
        <w:rPr>
          <w:rFonts w:ascii="Arial" w:hAnsi="Arial" w:cs="Arial" w:hint="eastAsia"/>
          <w:color w:val="333333"/>
          <w:sz w:val="44"/>
          <w:szCs w:val="44"/>
        </w:rPr>
        <w:t>委巡察办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jc w:val="center"/>
        <w:rPr>
          <w:rFonts w:ascii="Arial" w:hAnsi="Arial" w:cs="Arial"/>
          <w:color w:val="333333"/>
          <w:sz w:val="44"/>
          <w:szCs w:val="44"/>
        </w:rPr>
      </w:pPr>
      <w:r>
        <w:rPr>
          <w:rFonts w:ascii="Arial" w:hAnsi="Arial" w:cs="Arial" w:hint="eastAsia"/>
          <w:color w:val="333333"/>
          <w:sz w:val="44"/>
          <w:szCs w:val="44"/>
        </w:rPr>
        <w:t>20</w:t>
      </w:r>
      <w:r w:rsidR="002038C6">
        <w:rPr>
          <w:rFonts w:ascii="Arial" w:hAnsi="Arial" w:cs="Arial" w:hint="eastAsia"/>
          <w:color w:val="333333"/>
          <w:sz w:val="44"/>
          <w:szCs w:val="44"/>
        </w:rPr>
        <w:t>20</w:t>
      </w:r>
      <w:r>
        <w:rPr>
          <w:rFonts w:ascii="Arial" w:hAnsi="Arial" w:cs="Arial" w:hint="eastAsia"/>
          <w:color w:val="333333"/>
          <w:sz w:val="44"/>
          <w:szCs w:val="44"/>
        </w:rPr>
        <w:t>年预算公开目录</w:t>
      </w:r>
    </w:p>
    <w:p w:rsidR="00C14962" w:rsidRDefault="00C14962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部门预算公开的表格情况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</w:t>
      </w:r>
      <w:r>
        <w:rPr>
          <w:rFonts w:ascii="Arial" w:hAnsi="Arial" w:cs="Arial"/>
          <w:color w:val="333333"/>
          <w:sz w:val="32"/>
          <w:szCs w:val="32"/>
        </w:rPr>
        <w:t>、部门收支总体情况表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</w:t>
      </w:r>
      <w:r>
        <w:rPr>
          <w:rFonts w:ascii="Arial" w:hAnsi="Arial" w:cs="Arial"/>
          <w:color w:val="333333"/>
          <w:sz w:val="32"/>
          <w:szCs w:val="32"/>
        </w:rPr>
        <w:t>、部门收入总体情况表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3</w:t>
      </w:r>
      <w:r>
        <w:rPr>
          <w:rFonts w:ascii="Arial" w:hAnsi="Arial" w:cs="Arial"/>
          <w:color w:val="333333"/>
          <w:sz w:val="32"/>
          <w:szCs w:val="32"/>
        </w:rPr>
        <w:t>、部门支出总体情况表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4</w:t>
      </w:r>
      <w:r>
        <w:rPr>
          <w:rFonts w:ascii="Arial" w:hAnsi="Arial" w:cs="Arial"/>
          <w:color w:val="333333"/>
          <w:sz w:val="32"/>
          <w:szCs w:val="32"/>
        </w:rPr>
        <w:t>、部门支出总表（按部门预算经济分类）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5</w:t>
      </w:r>
      <w:r>
        <w:rPr>
          <w:rFonts w:ascii="Arial" w:hAnsi="Arial" w:cs="Arial"/>
          <w:color w:val="333333"/>
          <w:sz w:val="32"/>
          <w:szCs w:val="32"/>
        </w:rPr>
        <w:t>、部门支出总表（按政府预算经济分类）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6</w:t>
      </w:r>
      <w:r>
        <w:rPr>
          <w:rFonts w:ascii="Arial" w:hAnsi="Arial" w:cs="Arial"/>
          <w:color w:val="333333"/>
          <w:sz w:val="32"/>
          <w:szCs w:val="32"/>
        </w:rPr>
        <w:t>、基本支出预算明细表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工资福利支出（按部门预算经济分类）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7</w:t>
      </w:r>
      <w:r>
        <w:rPr>
          <w:rFonts w:ascii="Arial" w:hAnsi="Arial" w:cs="Arial"/>
          <w:color w:val="333333"/>
          <w:sz w:val="32"/>
          <w:szCs w:val="32"/>
        </w:rPr>
        <w:t>、基本支出预算明细表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工资福利支出（按政府预算经济分类）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8</w:t>
      </w:r>
      <w:r>
        <w:rPr>
          <w:rFonts w:ascii="Arial" w:hAnsi="Arial" w:cs="Arial"/>
          <w:color w:val="333333"/>
          <w:sz w:val="32"/>
          <w:szCs w:val="32"/>
        </w:rPr>
        <w:t>、基本支出预算明细表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商品和服务支出（按部门预算经济分类）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9</w:t>
      </w:r>
      <w:r>
        <w:rPr>
          <w:rFonts w:ascii="Arial" w:hAnsi="Arial" w:cs="Arial"/>
          <w:color w:val="333333"/>
          <w:sz w:val="32"/>
          <w:szCs w:val="32"/>
        </w:rPr>
        <w:t>、基本支出预算明细表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商品和服务支出（按政府预算经济分类）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10</w:t>
      </w:r>
      <w:r>
        <w:rPr>
          <w:rFonts w:ascii="Arial" w:hAnsi="Arial" w:cs="Arial"/>
          <w:color w:val="333333"/>
          <w:sz w:val="32"/>
          <w:szCs w:val="32"/>
        </w:rPr>
        <w:t>、基本支出预算明细表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对个人和家庭的补助（按部门预算经济分类）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11</w:t>
      </w:r>
      <w:r>
        <w:rPr>
          <w:rFonts w:ascii="Arial" w:hAnsi="Arial" w:cs="Arial" w:hint="eastAsia"/>
          <w:color w:val="333333"/>
          <w:sz w:val="32"/>
          <w:szCs w:val="32"/>
        </w:rPr>
        <w:t>、</w:t>
      </w:r>
      <w:r>
        <w:rPr>
          <w:rFonts w:ascii="Arial" w:hAnsi="Arial" w:cs="Arial"/>
          <w:color w:val="333333"/>
          <w:sz w:val="32"/>
          <w:szCs w:val="32"/>
        </w:rPr>
        <w:t>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对个人和家庭的补助（按政府预算经济分类）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12</w:t>
      </w:r>
      <w:r>
        <w:rPr>
          <w:rFonts w:ascii="Arial" w:hAnsi="Arial" w:cs="Arial"/>
          <w:color w:val="333333"/>
          <w:sz w:val="32"/>
          <w:szCs w:val="32"/>
        </w:rPr>
        <w:t>、财政拨款收支总体情况表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13</w:t>
      </w:r>
      <w:r>
        <w:rPr>
          <w:rFonts w:ascii="Arial" w:hAnsi="Arial" w:cs="Arial"/>
          <w:color w:val="333333"/>
          <w:sz w:val="32"/>
          <w:szCs w:val="32"/>
        </w:rPr>
        <w:t>、一般公共预算支出情况表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14</w:t>
      </w:r>
      <w:r>
        <w:rPr>
          <w:rFonts w:ascii="Arial" w:hAnsi="Arial" w:cs="Arial"/>
          <w:color w:val="333333"/>
          <w:sz w:val="32"/>
          <w:szCs w:val="32"/>
        </w:rPr>
        <w:t>、一般公共预算基本支出情况表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15</w:t>
      </w:r>
      <w:r>
        <w:rPr>
          <w:rFonts w:ascii="Arial" w:hAnsi="Arial" w:cs="Arial"/>
          <w:color w:val="333333"/>
          <w:sz w:val="32"/>
          <w:szCs w:val="32"/>
        </w:rPr>
        <w:t>、一般公共预算省级基本支出预算明细表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工资福利支出（按部门预算经济分类）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16</w:t>
      </w:r>
      <w:r>
        <w:rPr>
          <w:rFonts w:ascii="Arial" w:hAnsi="Arial" w:cs="Arial"/>
          <w:color w:val="333333"/>
          <w:sz w:val="32"/>
          <w:szCs w:val="32"/>
        </w:rPr>
        <w:t>、一般公共预算省级基本支出预算明细表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工资福利支出（按政府预算经济分类）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lastRenderedPageBreak/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17</w:t>
      </w:r>
      <w:r>
        <w:rPr>
          <w:rFonts w:ascii="Arial" w:hAnsi="Arial" w:cs="Arial"/>
          <w:color w:val="333333"/>
          <w:sz w:val="32"/>
          <w:szCs w:val="32"/>
        </w:rPr>
        <w:t>、一般公共预算省级基本支出预算明细表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商品和服务支出（按部门预算经济分类）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18</w:t>
      </w:r>
      <w:r>
        <w:rPr>
          <w:rFonts w:ascii="Arial" w:hAnsi="Arial" w:cs="Arial"/>
          <w:color w:val="333333"/>
          <w:sz w:val="32"/>
          <w:szCs w:val="32"/>
        </w:rPr>
        <w:t>、一般公共预算省级基本支出预算明细表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商品和服务支出（按政府预算经济分类）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19</w:t>
      </w:r>
      <w:r>
        <w:rPr>
          <w:rFonts w:ascii="Arial" w:hAnsi="Arial" w:cs="Arial"/>
          <w:color w:val="333333"/>
          <w:sz w:val="32"/>
          <w:szCs w:val="32"/>
        </w:rPr>
        <w:t>、一般公共预算省级基本支出预算明细表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对个人和家庭的补助（按部门预算经济分类）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20</w:t>
      </w:r>
      <w:r>
        <w:rPr>
          <w:rFonts w:ascii="Arial" w:hAnsi="Arial" w:cs="Arial"/>
          <w:color w:val="333333"/>
          <w:sz w:val="32"/>
          <w:szCs w:val="32"/>
        </w:rPr>
        <w:t>、一般公共预算省级基本支出预算明细表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对个人和家庭的补助（按政府预算经济分类）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21</w:t>
      </w:r>
      <w:r>
        <w:rPr>
          <w:rFonts w:ascii="Arial" w:hAnsi="Arial" w:cs="Arial"/>
          <w:color w:val="333333"/>
          <w:sz w:val="32"/>
          <w:szCs w:val="32"/>
        </w:rPr>
        <w:t>、政府性基金预算支出情况表（按部门预算经济分类）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22</w:t>
      </w:r>
      <w:r>
        <w:rPr>
          <w:rFonts w:ascii="Arial" w:hAnsi="Arial" w:cs="Arial"/>
          <w:color w:val="333333"/>
          <w:sz w:val="32"/>
          <w:szCs w:val="32"/>
        </w:rPr>
        <w:t>、政府性基金预算支出情况表（按政府预算经济分类）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23</w:t>
      </w:r>
      <w:r>
        <w:rPr>
          <w:rFonts w:ascii="Arial" w:hAnsi="Arial" w:cs="Arial"/>
          <w:color w:val="333333"/>
          <w:sz w:val="32"/>
          <w:szCs w:val="32"/>
        </w:rPr>
        <w:t>、纳入专户管理的非税收入拨款预算分类汇总表（按部门预算经济分类）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24</w:t>
      </w:r>
      <w:r>
        <w:rPr>
          <w:rFonts w:ascii="Arial" w:hAnsi="Arial" w:cs="Arial"/>
          <w:color w:val="333333"/>
          <w:sz w:val="32"/>
          <w:szCs w:val="32"/>
        </w:rPr>
        <w:t>、纳入专户管理的非税收入拨款预算分类汇总表（按政府预算经济分类）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25</w:t>
      </w:r>
      <w:r>
        <w:rPr>
          <w:rFonts w:ascii="Arial" w:hAnsi="Arial" w:cs="Arial"/>
          <w:color w:val="333333"/>
          <w:sz w:val="32"/>
          <w:szCs w:val="32"/>
        </w:rPr>
        <w:t>、一般公共预算拨款</w:t>
      </w:r>
      <w:r>
        <w:rPr>
          <w:rFonts w:ascii="Arial" w:hAnsi="Arial" w:cs="Arial"/>
          <w:color w:val="333333"/>
          <w:sz w:val="32"/>
          <w:szCs w:val="32"/>
        </w:rPr>
        <w:t>--</w:t>
      </w:r>
      <w:r>
        <w:rPr>
          <w:rFonts w:ascii="Arial" w:hAnsi="Arial" w:cs="Arial"/>
          <w:color w:val="333333"/>
          <w:sz w:val="32"/>
          <w:szCs w:val="32"/>
        </w:rPr>
        <w:t>经费拨款预算表（按部门预算经济分类）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26</w:t>
      </w:r>
      <w:r>
        <w:rPr>
          <w:rFonts w:ascii="Arial" w:hAnsi="Arial" w:cs="Arial"/>
          <w:color w:val="333333"/>
          <w:sz w:val="32"/>
          <w:szCs w:val="32"/>
        </w:rPr>
        <w:t>、一般公共预算拨款</w:t>
      </w:r>
      <w:r>
        <w:rPr>
          <w:rFonts w:ascii="Arial" w:hAnsi="Arial" w:cs="Arial"/>
          <w:color w:val="333333"/>
          <w:sz w:val="32"/>
          <w:szCs w:val="32"/>
        </w:rPr>
        <w:t>--</w:t>
      </w:r>
      <w:r>
        <w:rPr>
          <w:rFonts w:ascii="Arial" w:hAnsi="Arial" w:cs="Arial"/>
          <w:color w:val="333333"/>
          <w:sz w:val="32"/>
          <w:szCs w:val="32"/>
        </w:rPr>
        <w:t>经费拨款预算表（按政府预算经济分类）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27</w:t>
      </w:r>
      <w:r>
        <w:rPr>
          <w:rFonts w:ascii="Arial" w:hAnsi="Arial" w:cs="Arial"/>
          <w:color w:val="333333"/>
          <w:sz w:val="32"/>
          <w:szCs w:val="32"/>
        </w:rPr>
        <w:t>、专项资金清</w:t>
      </w:r>
      <w:r>
        <w:rPr>
          <w:rFonts w:ascii="Arial" w:hAnsi="Arial" w:cs="Arial" w:hint="eastAsia"/>
          <w:color w:val="333333"/>
          <w:sz w:val="32"/>
          <w:szCs w:val="32"/>
        </w:rPr>
        <w:t>决算汇总表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28</w:t>
      </w:r>
      <w:r>
        <w:rPr>
          <w:rFonts w:ascii="Arial" w:hAnsi="Arial" w:cs="Arial"/>
          <w:color w:val="333333"/>
          <w:sz w:val="32"/>
          <w:szCs w:val="32"/>
        </w:rPr>
        <w:t>、一般公共预算</w:t>
      </w:r>
      <w:r>
        <w:rPr>
          <w:rFonts w:ascii="Arial" w:hAnsi="Arial" w:cs="Arial"/>
          <w:color w:val="333333"/>
          <w:sz w:val="32"/>
          <w:szCs w:val="32"/>
        </w:rPr>
        <w:t>“</w:t>
      </w:r>
      <w:r>
        <w:rPr>
          <w:rFonts w:ascii="Arial" w:hAnsi="Arial" w:cs="Arial"/>
          <w:color w:val="333333"/>
          <w:sz w:val="32"/>
          <w:szCs w:val="32"/>
        </w:rPr>
        <w:t>三公</w:t>
      </w:r>
      <w:r>
        <w:rPr>
          <w:rFonts w:ascii="Arial" w:hAnsi="Arial" w:cs="Arial"/>
          <w:color w:val="333333"/>
          <w:sz w:val="32"/>
          <w:szCs w:val="32"/>
        </w:rPr>
        <w:t>”</w:t>
      </w:r>
      <w:r>
        <w:rPr>
          <w:rFonts w:ascii="Arial" w:hAnsi="Arial" w:cs="Arial"/>
          <w:color w:val="333333"/>
          <w:sz w:val="32"/>
          <w:szCs w:val="32"/>
        </w:rPr>
        <w:t>经费预算表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Pr="00DE2DA6" w:rsidRDefault="002038C6" w:rsidP="002038C6">
      <w:pPr>
        <w:ind w:firstLineChars="200" w:firstLine="643"/>
        <w:rPr>
          <w:rFonts w:asciiTheme="majorEastAsia" w:eastAsiaTheme="majorEastAsia" w:hAnsiTheme="majorEastAsia"/>
          <w:sz w:val="32"/>
          <w:szCs w:val="32"/>
        </w:rPr>
      </w:pPr>
      <w:r w:rsidRPr="00DE2DA6">
        <w:rPr>
          <w:rFonts w:asciiTheme="majorEastAsia" w:eastAsiaTheme="majorEastAsia" w:hAnsiTheme="majorEastAsia" w:hint="eastAsia"/>
          <w:b/>
          <w:sz w:val="32"/>
          <w:szCs w:val="32"/>
        </w:rPr>
        <w:t>29、</w:t>
      </w:r>
      <w:r w:rsidRPr="00DE2DA6">
        <w:rPr>
          <w:rFonts w:asciiTheme="majorEastAsia" w:eastAsiaTheme="majorEastAsia" w:hAnsiTheme="majorEastAsia" w:hint="eastAsia"/>
          <w:sz w:val="32"/>
          <w:szCs w:val="32"/>
        </w:rPr>
        <w:t>单位项目支出预算绩效目标申报表</w:t>
      </w:r>
    </w:p>
    <w:p w:rsidR="002038C6" w:rsidRPr="00DE2DA6" w:rsidRDefault="002038C6" w:rsidP="002038C6">
      <w:pPr>
        <w:ind w:firstLineChars="200" w:firstLine="643"/>
        <w:rPr>
          <w:rFonts w:asciiTheme="majorEastAsia" w:eastAsiaTheme="majorEastAsia" w:hAnsiTheme="majorEastAsia"/>
          <w:sz w:val="32"/>
          <w:szCs w:val="32"/>
        </w:rPr>
      </w:pPr>
      <w:r w:rsidRPr="00DE2DA6">
        <w:rPr>
          <w:rFonts w:asciiTheme="majorEastAsia" w:eastAsiaTheme="majorEastAsia" w:hAnsiTheme="majorEastAsia" w:hint="eastAsia"/>
          <w:b/>
          <w:sz w:val="32"/>
          <w:szCs w:val="32"/>
        </w:rPr>
        <w:t>30、</w:t>
      </w:r>
      <w:r w:rsidRPr="00DE2DA6">
        <w:rPr>
          <w:rFonts w:asciiTheme="majorEastAsia" w:eastAsiaTheme="majorEastAsia" w:hAnsiTheme="majorEastAsia" w:hint="eastAsia"/>
          <w:sz w:val="32"/>
          <w:szCs w:val="32"/>
        </w:rPr>
        <w:t>部门整体支出预算绩效目标申报表</w:t>
      </w:r>
    </w:p>
    <w:sectPr w:rsidR="002038C6" w:rsidRPr="00DE2DA6" w:rsidSect="00C149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01C" w:rsidRDefault="004F301C" w:rsidP="002649B3">
      <w:r>
        <w:separator/>
      </w:r>
    </w:p>
  </w:endnote>
  <w:endnote w:type="continuationSeparator" w:id="1">
    <w:p w:rsidR="004F301C" w:rsidRDefault="004F301C" w:rsidP="0026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01C" w:rsidRDefault="004F301C" w:rsidP="002649B3">
      <w:r>
        <w:separator/>
      </w:r>
    </w:p>
  </w:footnote>
  <w:footnote w:type="continuationSeparator" w:id="1">
    <w:p w:rsidR="004F301C" w:rsidRDefault="004F301C" w:rsidP="00264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C72AAD"/>
    <w:rsid w:val="002038C6"/>
    <w:rsid w:val="002649B3"/>
    <w:rsid w:val="004F301C"/>
    <w:rsid w:val="00A42ECC"/>
    <w:rsid w:val="00C14962"/>
    <w:rsid w:val="00DE2DA6"/>
    <w:rsid w:val="02C72AAD"/>
    <w:rsid w:val="195D77E2"/>
    <w:rsid w:val="45BB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149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49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264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49B3"/>
    <w:rPr>
      <w:kern w:val="2"/>
      <w:sz w:val="18"/>
      <w:szCs w:val="18"/>
    </w:rPr>
  </w:style>
  <w:style w:type="paragraph" w:styleId="a5">
    <w:name w:val="footer"/>
    <w:basedOn w:val="a"/>
    <w:link w:val="Char0"/>
    <w:rsid w:val="00264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49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Administrator</cp:lastModifiedBy>
  <cp:revision>2</cp:revision>
  <dcterms:created xsi:type="dcterms:W3CDTF">2021-06-08T03:21:00Z</dcterms:created>
  <dcterms:modified xsi:type="dcterms:W3CDTF">2021-06-08T03:21:00Z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