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楷体_GB2312" w:cs="Times New Roman"/>
          <w:color w:val="000000"/>
          <w:sz w:val="30"/>
          <w:szCs w:val="30"/>
        </w:rPr>
      </w:pPr>
    </w:p>
    <w:p>
      <w:pPr>
        <w:widowControl/>
        <w:spacing w:line="7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关于2019年财政预算执行情况和2020年财政预算（草案）的报告</w:t>
      </w:r>
    </w:p>
    <w:p>
      <w:pPr>
        <w:widowControl/>
        <w:spacing w:beforeLines="50" w:line="520" w:lineRule="exact"/>
        <w:ind w:right="-5"/>
        <w:jc w:val="center"/>
        <w:rPr>
          <w:rFonts w:ascii="Times New Roman" w:hAnsi="Times New Roman" w:eastAsia="楷体_GB2312" w:cs="Times New Roman"/>
          <w:bCs/>
          <w:color w:val="000000"/>
          <w:kern w:val="0"/>
          <w:sz w:val="28"/>
          <w:szCs w:val="28"/>
        </w:rPr>
      </w:pPr>
      <w:r>
        <w:rPr>
          <w:rFonts w:hint="eastAsia" w:ascii="黑体" w:hAnsi="黑体" w:eastAsia="黑体" w:cs="Times New Roman"/>
          <w:bCs/>
          <w:color w:val="000000"/>
          <w:kern w:val="0"/>
          <w:sz w:val="28"/>
          <w:szCs w:val="28"/>
        </w:rPr>
        <w:t>——</w:t>
      </w:r>
      <w:r>
        <w:rPr>
          <w:rFonts w:hint="eastAsia" w:ascii="Times New Roman" w:hAnsi="Times New Roman" w:eastAsia="楷体_GB2312" w:cs="Times New Roman"/>
          <w:bCs/>
          <w:color w:val="000000"/>
          <w:kern w:val="0"/>
          <w:sz w:val="28"/>
          <w:szCs w:val="28"/>
        </w:rPr>
        <w:t>2019年12月27日在沅江市第十七届人民代表大会第四次会议上</w:t>
      </w:r>
    </w:p>
    <w:p>
      <w:pPr>
        <w:widowControl/>
        <w:spacing w:beforeLines="50" w:line="520" w:lineRule="exact"/>
        <w:ind w:right="-5"/>
        <w:jc w:val="center"/>
        <w:rPr>
          <w:rFonts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rPr>
        <w:t>沅江市财政局局长   滕国辉</w:t>
      </w:r>
    </w:p>
    <w:p>
      <w:pPr>
        <w:spacing w:line="580" w:lineRule="exact"/>
        <w:rPr>
          <w:rFonts w:ascii="Times New Roman" w:hAnsi="Times New Roman" w:eastAsia="仿宋_GB2312" w:cs="Times New Roman"/>
          <w:color w:val="000000"/>
          <w:sz w:val="32"/>
          <w:szCs w:val="32"/>
        </w:rPr>
      </w:pPr>
    </w:p>
    <w:p>
      <w:pPr>
        <w:spacing w:line="58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各位代表：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我受市人民政府委托，向大会报告2019年财政预算执行情况和2020年财政预算草案，请予审议，并请各位政协委员和列席人员提出意见。</w:t>
      </w:r>
    </w:p>
    <w:p>
      <w:pPr>
        <w:spacing w:line="580" w:lineRule="exact"/>
        <w:ind w:firstLine="640" w:firstLineChars="200"/>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一、</w:t>
      </w:r>
      <w:r>
        <w:rPr>
          <w:rFonts w:ascii="Times New Roman" w:hAnsi="Times New Roman" w:eastAsia="黑体" w:cs="Times New Roman"/>
          <w:color w:val="000000"/>
          <w:sz w:val="32"/>
          <w:szCs w:val="32"/>
        </w:rPr>
        <w:t>2019</w:t>
      </w:r>
      <w:r>
        <w:rPr>
          <w:rFonts w:ascii="Times New Roman" w:hAnsi="黑体" w:eastAsia="黑体" w:cs="Times New Roman"/>
          <w:color w:val="000000"/>
          <w:sz w:val="32"/>
          <w:szCs w:val="32"/>
        </w:rPr>
        <w:t>年财政预算执行情况</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在市委坚强领导和市人大、市政协监督支持下，以习近平新时代中国特色社会主义思想为指导，坚持稳中求进工作总基调，落实新发展理念和高质量发展要求，实施更加积极的财政政策，克服减税降费、刚性支出较快增长等政策性减收增支困难，积极培育状大财源，不断强化收入征管，不断优化支出结构，深化财政体制改革，财政运行总体平稳有序，财政聚财生财理财用财水平持续提高。</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（一）收入预算执行情况</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2019年，预计完成公共财政预算收入124229万元，同比上年完成116721万元，增加7508万元，增长6.43%。其中：</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税收收入预计完成100266万元，比上年完成96404万元增收3862万元，增长4%。税收收入占财税收入的比重达80.71%。非税收入预计完成23963万元，比上年完成20317万元增加3646万元，增长17.94%。非税收入占地方收入的比重为32.48%。</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全年市本级一般预算收入73787万元，加上级补助收入383893万元、新增地方政府债券收入36024万元、调入预算稳定调节基金9366万元、上年结转32799万元，政府性基金调入105000万元，全市一般预算收入总额为640869万元。</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（二）支出预算执行情况</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2019年，预计全市财政总支出590701万元，其中，一般预算支出561557万元（比上年增长20.08%），上解上级支出6500万元，地方政府债券还本22644万元，结转下年支出50168万元，收支相抵，全年收支平衡。</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主要支出项目执行情况如下：</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1、一般公共服务支出43493万元，比上年增加2043万元，增长4.93%。</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2、国防支出761万元，比上年增加191万元，增长33.5%。</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3、公共安全支出15260万元，比上年增加890万元，增长6.19%。</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4、教育支出77261万元，比上年减少2546万元，下降3.19%，主要原因为上年有新建学校支出。</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5、科学技术支出3091万元，比上年减少40，下降1.28%。</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6、文化体育与传媒支出3860万元，比上年增加411万元，增长11.92%。</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7、社会保障和就业支出103181万元，比上年增加1695万元，增长1.67%。</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8、卫生健康支出59803万元，比上年增加8741万元，增长17.12%。</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9、节能环保支出43424万元，比上年增加34669万元，增长396%。主要原因是上级转移支付增加。</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10、城乡社区支出13961万元，比上年增加301万元，增长2.2%。</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11、农林水支出123890万元，比上年增加41038万元，增长49.53%。主要原因是上级转移支付增加。</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12、交通运输支出32820万元，比上年增加16445万元，增长100.43%。主要原因为上级转移支付增加。</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13、资源勘探信息等支出1130万元，比上年减少6415万元，下降85.02%。下降的主要原因是上级转移支付减少。</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14、粮油物资储备支出3887万元，比上年增加1076万元，增长38.28%。增长的主要原因上级专项转移支付增加。</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15、商业服务业支出2374万元，比上年减少2346万元，下降49.7%。下降的主要原因是上级转移支付减少。</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16、住房保障支出15406万元，比上年减少5813万元，下降27.39%。下降的主要原因是上级转移支付减少。</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17、自然资源海洋气象等支出5061万元，比上年减少911万元，下降15.25%。主要原因是上级转移支付减少。</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18、金融支出223万元，比上年增加200万元。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19、灾害防治及应急管理支出1879万元，为今年新增功能科目。</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19、其他支出774万元。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20、债务付息支出10018万元，比上年增加1645万元，增长19.64%。</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（三）政府性基金执行情况</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全市政府性基金收入146235万元，加上上级补助收入5689万元、上年结余11300万元、新增地方政府专项债券18250万元，收入合计181474万元，比上年完成197775万元减少16301万元。政府性基金收入主要有：国有土地使用权出让58497万元、污水处理费805万元、城市基础设施配套收入600万元、农业土地开发资金收入196万元，其他政府性基金收入86137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政府性基金支出68021万元，比上年支出86380万元减少18359万元，上解上级支出95万元，调出资金105000万元。主要支出项目有：文化体育与传媒支出34万元、社会保障和就业支出1054万元、城乡社区支出23028万元、农林水支出176万元、其他政府性基金支出43824万元。收支相抵，结转下年支出8358万元。</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（四）社会保险基金执行情况</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全市社会保险基金收入125185万元，完成全年预算的97.19%。按险种分：机关事业单位养老保险基金46539万元、城乡居民基本养老保险基金15880万元、城镇职工基本医疗保险基金11859万元（含生育保险基金）、城乡居民基本医疗保险基金47575万元、工伤保险基金3002万元、失业保险基金 330万元。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全市社会保险基金支出122635万元，完成全年预算的101.9%。按险种分：机关事业单位养老保险基金45540万元、城乡居民基本养老保险基金15446万元、城镇职工基本医疗保险基金12146万元（含生育保险基金）、城乡居民基本医疗保险基金47172万元、工伤保险基金2129万元、失业保险基金202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2019年本年结余2550万元。其中，机关事业单位养老保险基金999万元、城乡居民基本养老保险基金434万元、城镇职工基本医疗保险基金（含生育保险）</w:t>
      </w:r>
      <w:r>
        <w:rPr>
          <w:rFonts w:hint="eastAsia" w:cs="Times New Roman" w:asciiTheme="minorEastAsia" w:hAnsiTheme="minorEastAsia" w:eastAsiaTheme="minorEastAsia"/>
          <w:color w:val="000000"/>
          <w:sz w:val="32"/>
          <w:szCs w:val="32"/>
        </w:rPr>
        <w:t>-</w:t>
      </w:r>
      <w:r>
        <w:rPr>
          <w:rFonts w:hint="eastAsia" w:ascii="Times New Roman" w:hAnsi="Times New Roman" w:eastAsia="仿宋_GB2312" w:cs="Times New Roman"/>
          <w:color w:val="000000"/>
          <w:sz w:val="32"/>
          <w:szCs w:val="32"/>
        </w:rPr>
        <w:t>287万元、居民基本医疗保险基金403万元、工伤保险基金873万元、失业保险基金128万元。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注：因企业养老保险基金为省里统一编制预算，所以预算执行情况中也没有反映其收支情况。</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（五）围绕预算执行所做的主要工作</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凝心聚力，助推经济快速发展。一是大力实施产业兴市战略，着力推动产业转型升级。中联重科、辣妹子、新马制衣转型升级后产销两旺，税收同比都有较大幅度增长，共计创税上亿元。尤其是辣妹子的芦菌生产项目，有望成为食品产业经济新的增长点。二是全力支持园区建设。投入8.7亿元，建成食品产业园标准化厂房6.4万m</w:t>
      </w:r>
      <w:r>
        <w:rPr>
          <w:rFonts w:hint="eastAsia" w:ascii="Times New Roman" w:hAnsi="Times New Roman" w:eastAsia="仿宋_GB2312" w:cs="Times New Roman"/>
          <w:color w:val="000000"/>
          <w:sz w:val="32"/>
          <w:szCs w:val="32"/>
          <w:vertAlign w:val="superscript"/>
        </w:rPr>
        <w:t>2</w:t>
      </w:r>
      <w:r>
        <w:rPr>
          <w:rFonts w:hint="eastAsia" w:ascii="Times New Roman" w:hAnsi="Times New Roman" w:eastAsia="仿宋_GB2312" w:cs="Times New Roman"/>
          <w:color w:val="000000"/>
          <w:sz w:val="32"/>
          <w:szCs w:val="32"/>
        </w:rPr>
        <w:t>，园区管网、道路等基础设施等进一步完善，“引凤”能力进一步提升，园区新增规模企业11家，新增高新技术企业8家。三是大力支持招商引资。进一步优化营商环境，破解“办事难”问题，积极搭建驻外招商平台，实施招商服务外包，市级领导带队和部门组队外出招商84批次，邀请客商来沅实地考察182批次，签约项目19个，签约资金243亿元。四是着力推进立项争资工作。全年争取上级一般性转移支付25.6亿元、专项转移支付14.3亿元，为市级增加财力13.9亿元，其中争取造纸企业退出专项资金1亿元、洞庭湖区三大垸建设资金2.25亿元、水污染治理专项资金1.84亿元、洞庭湖专项整治资金9700万元、公路交通建设资金8700万元、耕地地力保护资金</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亿元，同时审核申报企业制造强省、传统产业转型升级、税收增量奖补等省级项目21个，申报益阳产业兴市暨产业扶贫等市级项目33个，争取企业项目补助资金1680万元。五是严格落实减税降费政策，着力减轻企业负担，增强企业发展后劲，全年减税降费过亿元。六是大力支持重点项目建设，全力保障重点项目建设资金需求。</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全力以赴，确保收入颗粒归仓。一是建立财税征管工作责任制，逐一明确责任单位、税收协控联管单位目标任务，一级抓一级，层层抓落实。二是认真研究经济走势和国家税费减免政策对我市产生的深远影响，深入重点企业调查研究，开展重点税源、重点行业、重点企业的税源监控分析，加强税源控管。三是强化税收协控联管监管机制，调整充实税收协控联管成员单位，完善护税协税网络，定期召开联席会议。四是加强财税征管调度。每季度定期召开税收形势分析会，每月底对税收情况分部门进行预测，分税种、分部分、分区域分析增收、减收因素，每10天进行一次收入调度，努力确保财税均衡入库。五是加大税收稽查力度，严厉打击偷税、漏税行为，着力规范税收征管秩序，如开展成品油税收专项整治一项就查补税款120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精心调度，全力确保重点支出。面对今年凸显的收支矛盾，市财政部门切实加大调控力度，通过积极向上级申请相关资金、盘活市级存量、压减专项和一般性支出等有效措施，确保了各项重点支出需求，尤其是优先重点保障民生支出达39.89亿元，同比增长5%，占全市财政总支出56.16亿元的71.03%，处于全省中上游水平。其中：拨付教育系统人员工资6.1亿元、义务教育学校公用经费4105万元、教育扶困助学资金1797万元、校舍建设等教育各类项目工程资金1.12亿元；文化科技项目投入1015.2万元；发放稻谷和棉花补贴资金9915.05万元、产油大县奖励及渔业油补资金2368.56万元、林业补贴资金1495.3万元、畜禽退养补贴资金2518万元；投入棚改债券资金1.06亿元，实施莲花小区和景星路341户棚改项目；投入3495万元，实施保障性安居工程；投入650万元，实施移民地区城乡人居环境优化整村推进项目；拨付1854万元，实施1263户农村贫困户危房改造；发放失业保险社保补贴1069万元、健康扶贫资金1680万元；农村公路建设22500万元；乡镇污水处理厂建设5100万元；改善教育办学条件及危房改造1500万元；收购出租车公司1500万元；公交总站建设前期费用800万元；农村人居环境服务外包经费3600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深谋改革，着力打造坚固壁垒。一是深化投资评审改革。进一步缩减预算项目送审范围，规范资料送审清单，简化送审资料，压缩评审办结时限，实施“三个全程”，提升服务效能。全年评审政府投资项目546个，评审项目资金17.31亿元，审减不合理资金2.49亿元。深入现场勘查221次，把关现场变更签证和竣工验收，核减不合理签证1742万元。二是深化政府采购改革。启动政府采购管理系统，调整建设工程公开招标政策和政府采购限额政策以及政府采购财政评审额度，进一步规范政府采购工作流程。三是强化预算绩效管理。对市直预算单位的专项资金实行绩效跟踪运行监控，实现市直部门单位绩效评价全覆盖，并聘请第三方中介机构，对本级预算安排的8个重点专项资金进行财政重点绩效评价。进一步强化评价结果运用，根据绩效评价的结果对2020年部门单位预算安排进行适度调整。四是加强财政资金管理。制定《财政专户管理制度》，清理撤销合并财政专户49户，仅保留财政部允许保留的13个专户。强化预算约束，严格按照年初预算拨付财政资金，并实行电子化支付管理。强化财政监管职能，对全市12个乡镇和部分市直单位财政财务进行全面的监督检查，及时通报并责令限期整改存在的问题。此外，还针对当前财政财务工作中存在的一些问题，组织开展财政法纪教育年活动，对全市财政干部和乡镇财务人员进行法纪法规教育和财政业务培训。</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5、履职尽责，致力打好“三大攻坚战”。一是致力打好防范风险攻坚战。制定《沅江市防范化解政府性债务风险实施方案》和《沅江市隐性债务2018</w:t>
      </w:r>
      <w:r>
        <w:rPr>
          <w:rFonts w:hint="eastAsia" w:cs="Times New Roman" w:asciiTheme="majorEastAsia" w:hAnsiTheme="majorEastAsia" w:eastAsiaTheme="majorEastAsia"/>
          <w:color w:val="000000"/>
          <w:sz w:val="32"/>
          <w:szCs w:val="32"/>
        </w:rPr>
        <w:t>-</w:t>
      </w:r>
      <w:r>
        <w:rPr>
          <w:rFonts w:hint="eastAsia" w:ascii="Times New Roman" w:hAnsi="Times New Roman" w:eastAsia="仿宋_GB2312" w:cs="Times New Roman"/>
          <w:color w:val="000000"/>
          <w:sz w:val="32"/>
          <w:szCs w:val="32"/>
        </w:rPr>
        <w:t>2027年化解方案》，完成全市201家行政事业单位财政部债务监测平台建设，对全市46家有债务的行政事业单位的债务情况进行全面清理，严格执行省下达我市政府性债务限额管理，严控限额红线，严把风险底线，确保了债务年末余额不突破省政府审定下达的限额，做到了严格控制增量，逐步消化存量，建立了防控债务风险长效机制。二是致力打好精准扶贫攻坚战。及时分配和拨付财政专项扶贫资金5838.42万元, 主要用于特色产业扶持、村级集体经济发展和农村基础设施建设等扶贫项目，并重新修订《沅江市财政专项扶贫资金管理办法》,进一步明确和完善资金管理使用的具体要求和拨付流程，同时对全市</w:t>
      </w:r>
      <w:r>
        <w:rPr>
          <w:rFonts w:ascii="Times New Roman" w:hAnsi="Times New Roman" w:eastAsia="仿宋_GB2312" w:cs="Times New Roman"/>
          <w:color w:val="000000"/>
          <w:sz w:val="32"/>
          <w:szCs w:val="32"/>
        </w:rPr>
        <w:t>14</w:t>
      </w:r>
      <w:r>
        <w:rPr>
          <w:rFonts w:hint="eastAsia" w:ascii="Times New Roman" w:hAnsi="Times New Roman" w:eastAsia="仿宋_GB2312" w:cs="Times New Roman"/>
          <w:color w:val="000000"/>
          <w:sz w:val="32"/>
          <w:szCs w:val="32"/>
        </w:rPr>
        <w:t>个镇场街道财政专项扶贫资金使用情况进行专项检查，全力确保各项扶贫资金管理合理合规和高效有序运行。三是致力打好污染防治攻坚战。安排资金5.7亿元，贯彻落实环保督查要求，大力支持城乡、工业园区污水处理和生活垃圾处理设施建设，深入推进洞庭湖生态环境治理和农村环境治理保护，建设美丽沅江、生态沅江。</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过去的一年，全市上下主动适应经济发展新常态，在宏观经济转型压力加大的形势下，全市财政工作经受住了严峻的考验和挑战，取得了一定成绩，但也还存在一些困难和问题，主要</w:t>
      </w:r>
      <w:r>
        <w:rPr>
          <w:rFonts w:ascii="Times New Roman" w:hAnsi="Times New Roman" w:eastAsia="仿宋_GB2312" w:cs="Times New Roman"/>
          <w:color w:val="000000"/>
          <w:sz w:val="32"/>
          <w:szCs w:val="32"/>
        </w:rPr>
        <w:t>是财政收支平衡压力</w:t>
      </w:r>
      <w:r>
        <w:rPr>
          <w:rFonts w:hint="eastAsia" w:ascii="Times New Roman" w:hAnsi="Times New Roman" w:eastAsia="仿宋_GB2312" w:cs="Times New Roman"/>
          <w:color w:val="000000"/>
          <w:sz w:val="32"/>
          <w:szCs w:val="32"/>
        </w:rPr>
        <w:t>巨</w:t>
      </w:r>
      <w:r>
        <w:rPr>
          <w:rFonts w:ascii="Times New Roman" w:hAnsi="Times New Roman" w:eastAsia="仿宋_GB2312" w:cs="Times New Roman"/>
          <w:color w:val="000000"/>
          <w:sz w:val="32"/>
          <w:szCs w:val="32"/>
        </w:rPr>
        <w:t>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受经济发展进入新常态和减税降费等政策因素影响，财政增收进一步放缓</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随着脱贫攻坚进入决胜阶段、债务还本付息进入高峰期、民生保障不断标扩面，支出压力不断增大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市</w:t>
      </w:r>
      <w:r>
        <w:rPr>
          <w:rFonts w:hint="eastAsia" w:ascii="Times New Roman" w:hAnsi="Times New Roman" w:eastAsia="仿宋_GB2312" w:cs="Times New Roman"/>
          <w:color w:val="000000"/>
          <w:sz w:val="32"/>
          <w:szCs w:val="32"/>
        </w:rPr>
        <w:t>级</w:t>
      </w:r>
      <w:r>
        <w:rPr>
          <w:rFonts w:ascii="Times New Roman" w:hAnsi="Times New Roman" w:eastAsia="仿宋_GB2312" w:cs="Times New Roman"/>
          <w:color w:val="000000"/>
          <w:sz w:val="32"/>
          <w:szCs w:val="32"/>
        </w:rPr>
        <w:t>财政运行</w:t>
      </w:r>
      <w:r>
        <w:rPr>
          <w:rFonts w:hint="eastAsia" w:ascii="Times New Roman" w:hAnsi="Times New Roman" w:eastAsia="仿宋_GB2312" w:cs="Times New Roman"/>
          <w:color w:val="000000"/>
          <w:sz w:val="32"/>
          <w:szCs w:val="32"/>
        </w:rPr>
        <w:t>十分艰难。我们将在今后的工作中予以高度重视，采取有力措施，切实加以解决。</w:t>
      </w:r>
    </w:p>
    <w:p>
      <w:pPr>
        <w:spacing w:line="580" w:lineRule="exact"/>
        <w:ind w:firstLine="640" w:firstLineChars="200"/>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二、</w:t>
      </w:r>
      <w:r>
        <w:rPr>
          <w:rFonts w:ascii="Times New Roman" w:hAnsi="Times New Roman" w:eastAsia="黑体" w:cs="Times New Roman"/>
          <w:color w:val="000000"/>
          <w:sz w:val="32"/>
          <w:szCs w:val="32"/>
        </w:rPr>
        <w:t>2020</w:t>
      </w:r>
      <w:r>
        <w:rPr>
          <w:rFonts w:ascii="Times New Roman" w:hAnsi="黑体" w:eastAsia="黑体" w:cs="Times New Roman"/>
          <w:color w:val="000000"/>
          <w:sz w:val="32"/>
          <w:szCs w:val="32"/>
        </w:rPr>
        <w:t>年财政预算草案</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预算编制</w:t>
      </w:r>
      <w:r>
        <w:rPr>
          <w:rFonts w:ascii="Times New Roman" w:hAnsi="Times New Roman" w:eastAsia="仿宋_GB2312" w:cs="Times New Roman"/>
          <w:color w:val="000000"/>
          <w:sz w:val="32"/>
          <w:szCs w:val="32"/>
        </w:rPr>
        <w:t>的指导思想是：</w:t>
      </w:r>
      <w:r>
        <w:rPr>
          <w:rFonts w:hint="eastAsia" w:ascii="Times New Roman" w:hAnsi="Times New Roman" w:eastAsia="仿宋_GB2312" w:cs="Times New Roman"/>
          <w:color w:val="000000"/>
          <w:sz w:val="32"/>
          <w:szCs w:val="32"/>
        </w:rPr>
        <w:t>以习近平新时代中国特色社会主义思想为引领，深入贯彻党的十九大和十九届三中、四中全会精神，严格落实预算法，不断提高预算编制的完整性、科学性、准确性，坚持“重三保、控一般、抓统筹、提绩效”，加大预算公开力度，严格预算执行，着力构建全面规范、科学合理、公开透明的现代预算管理体制。</w:t>
      </w:r>
    </w:p>
    <w:p>
      <w:pPr>
        <w:spacing w:line="58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（一）一般公共财政收支预算</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收入预算</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2020年，全市</w:t>
      </w:r>
      <w:r>
        <w:rPr>
          <w:rFonts w:ascii="Times New Roman" w:hAnsi="Times New Roman" w:eastAsia="仿宋_GB2312" w:cs="Times New Roman"/>
          <w:color w:val="000000"/>
          <w:sz w:val="32"/>
          <w:szCs w:val="32"/>
        </w:rPr>
        <w:t>公共财政预算收入</w:t>
      </w:r>
      <w:r>
        <w:rPr>
          <w:rFonts w:hint="eastAsia" w:ascii="Times New Roman" w:hAnsi="Times New Roman" w:eastAsia="仿宋_GB2312" w:cs="Times New Roman"/>
          <w:color w:val="000000"/>
          <w:sz w:val="32"/>
          <w:szCs w:val="32"/>
        </w:rPr>
        <w:t>131065</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较2019年预计完成数增长5.5</w:t>
      </w:r>
      <w:r>
        <w:rPr>
          <w:rFonts w:ascii="Times New Roman" w:hAnsi="Times New Roman" w:eastAsia="仿宋_GB2312" w:cs="Times New Roman"/>
          <w:color w:val="000000"/>
          <w:sz w:val="32"/>
          <w:szCs w:val="32"/>
        </w:rPr>
        <w:t>%，其中：</w:t>
      </w:r>
      <w:r>
        <w:rPr>
          <w:rFonts w:hint="eastAsia" w:ascii="Times New Roman" w:hAnsi="Times New Roman" w:eastAsia="仿宋_GB2312" w:cs="Times New Roman"/>
          <w:color w:val="000000"/>
          <w:sz w:val="32"/>
          <w:szCs w:val="32"/>
        </w:rPr>
        <w:t>税收收入108965</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非税收入22100</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税收收入占财政总收入的比重</w:t>
      </w:r>
      <w:r>
        <w:rPr>
          <w:rFonts w:hint="eastAsia" w:ascii="Times New Roman" w:hAnsi="Times New Roman" w:eastAsia="仿宋_GB2312" w:cs="Times New Roman"/>
          <w:color w:val="000000"/>
          <w:sz w:val="32"/>
          <w:szCs w:val="32"/>
        </w:rPr>
        <w:t>为83.14</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市本级一般</w:t>
      </w:r>
      <w:r>
        <w:rPr>
          <w:rFonts w:ascii="Times New Roman" w:hAnsi="Times New Roman" w:eastAsia="仿宋_GB2312" w:cs="Times New Roman"/>
          <w:color w:val="000000"/>
          <w:sz w:val="32"/>
          <w:szCs w:val="32"/>
        </w:rPr>
        <w:t>公共财政预算收入</w:t>
      </w:r>
      <w:r>
        <w:rPr>
          <w:rFonts w:hint="eastAsia" w:ascii="Times New Roman" w:hAnsi="Times New Roman" w:eastAsia="仿宋_GB2312" w:cs="Times New Roman"/>
          <w:color w:val="000000"/>
          <w:sz w:val="32"/>
          <w:szCs w:val="32"/>
        </w:rPr>
        <w:t>74732</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（上划上级56333万元）</w:t>
      </w:r>
      <w:r>
        <w:rPr>
          <w:rFonts w:ascii="Times New Roman" w:hAnsi="Times New Roman" w:eastAsia="仿宋_GB2312" w:cs="Times New Roman"/>
          <w:color w:val="000000"/>
          <w:sz w:val="32"/>
          <w:szCs w:val="32"/>
        </w:rPr>
        <w:t>，加上上级补助收入</w:t>
      </w:r>
      <w:r>
        <w:rPr>
          <w:rFonts w:hint="eastAsia" w:ascii="Times New Roman" w:hAnsi="Times New Roman" w:eastAsia="仿宋_GB2312" w:cs="Times New Roman"/>
          <w:color w:val="000000"/>
          <w:sz w:val="32"/>
          <w:szCs w:val="32"/>
        </w:rPr>
        <w:t>100472</w:t>
      </w:r>
      <w:r>
        <w:rPr>
          <w:rFonts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上级下达</w:t>
      </w:r>
      <w:r>
        <w:rPr>
          <w:rFonts w:hint="eastAsia" w:ascii="Times New Roman" w:hAnsi="Times New Roman" w:eastAsia="仿宋_GB2312" w:cs="Times New Roman"/>
          <w:color w:val="000000"/>
          <w:sz w:val="32"/>
          <w:szCs w:val="32"/>
        </w:rPr>
        <w:t>我市指定用途的</w:t>
      </w:r>
      <w:r>
        <w:rPr>
          <w:rFonts w:ascii="Times New Roman" w:hAnsi="Times New Roman" w:eastAsia="仿宋_GB2312" w:cs="Times New Roman"/>
          <w:color w:val="000000"/>
          <w:sz w:val="32"/>
          <w:szCs w:val="32"/>
        </w:rPr>
        <w:t>专项转移支付</w:t>
      </w:r>
      <w:r>
        <w:rPr>
          <w:rFonts w:hint="eastAsia" w:ascii="Times New Roman" w:hAnsi="Times New Roman" w:eastAsia="仿宋_GB2312" w:cs="Times New Roman"/>
          <w:color w:val="000000"/>
          <w:sz w:val="32"/>
          <w:szCs w:val="32"/>
        </w:rPr>
        <w:t>159790万元，调入政府性基金97200万元，年度财政总收入432194万元</w:t>
      </w:r>
      <w:r>
        <w:rPr>
          <w:rFonts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2、支出预算</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全市纳入部门预算单位116个，其中市直全额预算管理单位83个，财政补助综合预算管理单位17个，自收自支单位4个，镇、街道办事处12个。纳入预算编制人数21759人，其中在职人员13077人，离退休人员8682人。</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2020年，全市支出预算总额432194万元，其中一般公共预算支出413578万元，</w:t>
      </w:r>
      <w:r>
        <w:rPr>
          <w:rFonts w:ascii="Times New Roman" w:hAnsi="Times New Roman" w:eastAsia="仿宋_GB2312" w:cs="Times New Roman"/>
          <w:color w:val="000000"/>
          <w:sz w:val="32"/>
          <w:szCs w:val="32"/>
        </w:rPr>
        <w:t>上解上级支出</w:t>
      </w:r>
      <w:r>
        <w:rPr>
          <w:rFonts w:hint="eastAsia" w:ascii="Times New Roman" w:hAnsi="Times New Roman" w:eastAsia="仿宋_GB2312" w:cs="Times New Roman"/>
          <w:color w:val="000000"/>
          <w:sz w:val="32"/>
          <w:szCs w:val="32"/>
        </w:rPr>
        <w:t>6482万元，归还地方政府债券本金支出12134万元，全年收支平衡。</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全</w:t>
      </w:r>
      <w:r>
        <w:rPr>
          <w:rFonts w:hint="eastAsia" w:ascii="Times New Roman" w:hAnsi="Times New Roman" w:eastAsia="仿宋_GB2312" w:cs="Times New Roman"/>
          <w:color w:val="000000"/>
          <w:sz w:val="32"/>
          <w:szCs w:val="32"/>
        </w:rPr>
        <w:t>市</w:t>
      </w:r>
      <w:r>
        <w:rPr>
          <w:rFonts w:ascii="Times New Roman" w:hAnsi="Times New Roman" w:eastAsia="仿宋_GB2312" w:cs="Times New Roman"/>
          <w:color w:val="000000"/>
          <w:sz w:val="32"/>
          <w:szCs w:val="32"/>
        </w:rPr>
        <w:t>一般公共预算支出</w:t>
      </w:r>
      <w:r>
        <w:rPr>
          <w:rFonts w:hint="eastAsia" w:ascii="Times New Roman" w:hAnsi="Times New Roman" w:eastAsia="仿宋_GB2312" w:cs="Times New Roman"/>
          <w:color w:val="000000"/>
          <w:sz w:val="32"/>
          <w:szCs w:val="32"/>
        </w:rPr>
        <w:t>413578</w:t>
      </w:r>
      <w:r>
        <w:rPr>
          <w:rFonts w:ascii="Times New Roman" w:hAnsi="Times New Roman" w:eastAsia="仿宋_GB2312" w:cs="Times New Roman"/>
          <w:color w:val="000000"/>
          <w:sz w:val="32"/>
          <w:szCs w:val="32"/>
        </w:rPr>
        <w:t>万元，比上年增长</w:t>
      </w:r>
      <w:r>
        <w:rPr>
          <w:rFonts w:hint="eastAsia" w:ascii="Times New Roman" w:hAnsi="Times New Roman" w:eastAsia="仿宋_GB2312" w:cs="Times New Roman"/>
          <w:color w:val="000000"/>
          <w:sz w:val="32"/>
          <w:szCs w:val="32"/>
        </w:rPr>
        <w:t>10.8</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其中：</w:t>
      </w:r>
      <w:r>
        <w:rPr>
          <w:rFonts w:hint="eastAsia" w:ascii="Times New Roman" w:hAnsi="Times New Roman" w:eastAsia="仿宋_GB2312" w:cs="Times New Roman"/>
          <w:color w:val="000000"/>
          <w:sz w:val="32"/>
          <w:szCs w:val="32"/>
        </w:rPr>
        <w:t>市本级可用财力安排支出253788万元，较上年预算增加23634万元，指定用途专项转移支付安排支出159790万元。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市本级可用财力253788万元安排支出明细如下：</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（1）一般公共服务支出37535万元，同比上年增加1</w:t>
      </w:r>
      <w:r>
        <w:rPr>
          <w:rFonts w:hint="eastAsia" w:ascii="Times New Roman" w:hAnsi="Times New Roman" w:eastAsia="仿宋_GB2312" w:cs="Times New Roman"/>
          <w:color w:val="000000"/>
          <w:sz w:val="32"/>
          <w:szCs w:val="32"/>
          <w:lang w:val="en-US" w:eastAsia="zh-CN"/>
        </w:rPr>
        <w:t>308</w:t>
      </w:r>
      <w:r>
        <w:rPr>
          <w:rFonts w:hint="eastAsia" w:ascii="Times New Roman" w:hAnsi="Times New Roman" w:eastAsia="仿宋_GB2312" w:cs="Times New Roman"/>
          <w:color w:val="000000"/>
          <w:sz w:val="32"/>
          <w:szCs w:val="32"/>
        </w:rPr>
        <w:t>万元，增长3.</w:t>
      </w:r>
      <w:r>
        <w:rPr>
          <w:rFonts w:hint="eastAsia" w:ascii="Times New Roman" w:hAnsi="Times New Roman" w:eastAsia="仿宋_GB2312" w:cs="Times New Roman"/>
          <w:color w:val="000000"/>
          <w:sz w:val="32"/>
          <w:szCs w:val="32"/>
          <w:lang w:val="en-US" w:eastAsia="zh-CN"/>
        </w:rPr>
        <w:t>61</w:t>
      </w:r>
      <w:r>
        <w:rPr>
          <w:rFonts w:hint="eastAsia" w:ascii="Times New Roman" w:hAnsi="Times New Roman" w:eastAsia="仿宋_GB2312" w:cs="Times New Roman"/>
          <w:color w:val="000000"/>
          <w:sz w:val="32"/>
          <w:szCs w:val="32"/>
        </w:rPr>
        <w:t>%。</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（2）国防支出240万元，同比上年减少323万元，下降57%。主要原因是人防办合并到住建局，支出科目变动。</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（3）公共安全支出12406万元，同比上年增加1718万元，增长16%。</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（4）教育支出60666万元，同比上年增加1826万元，增长3%。</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（5）科学技术支出403万元，同比上年减少31万元。</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（6）文化旅游体育与传媒支出2546万元，同比上年增加71万元，增长3%。</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（7）社会保障和就业支出30497万元，同比上年增加3781万元，增长14%。</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（8）卫生健康支出16084万元，同比上年增加852万元，增长6%。</w:t>
      </w:r>
    </w:p>
    <w:p>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（9）节能环保支出6322万元，同比上年增加1225万元,增长24%。</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（10）城乡社区支出10183万元，同比上年增加43万元，基本持平。</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（11）农林水支出30903万元，同比上年增加5099万元，增长19.76%。</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（12）交通运输支出4632万元，同比上年增加21万元，与上年基本持平。</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（13）资源勘探信息等支出3591万元，同比上年增加2899万元，增长419%。主要原因是增加工业产业扶持资金。</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（14）商业服务业等支出1270万元，同比上年减少111万元,下降8%。主要原因是粮食局人员划转至发改局。</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（15）自然资源海洋气象等支出2136万元，同比上年增加33万元，增长1.56%。</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（16）住房保障支出9455万元，同比上年增加961万元，增长11.32%。</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（17）灾害防治及应急管理支出1304万元,同比上年增加50万元，增长4%。</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（18）预备费7000万元，同比上年增长2400万元，按财力增长设置。</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（19）其他支出5</w:t>
      </w:r>
      <w:r>
        <w:rPr>
          <w:rFonts w:hint="eastAsia" w:ascii="Times New Roman" w:hAnsi="Times New Roman" w:eastAsia="仿宋_GB2312" w:cs="Times New Roman"/>
          <w:color w:val="000000"/>
          <w:sz w:val="32"/>
          <w:szCs w:val="32"/>
          <w:lang w:val="en-US" w:eastAsia="zh-CN"/>
        </w:rPr>
        <w:t>665</w:t>
      </w:r>
      <w:r>
        <w:rPr>
          <w:rFonts w:hint="eastAsia" w:ascii="Times New Roman" w:hAnsi="Times New Roman" w:eastAsia="仿宋_GB2312" w:cs="Times New Roman"/>
          <w:color w:val="000000"/>
          <w:sz w:val="32"/>
          <w:szCs w:val="32"/>
        </w:rPr>
        <w:t>万元，同比上年增加628万元，增长1</w:t>
      </w:r>
      <w:r>
        <w:rPr>
          <w:rFonts w:hint="eastAsia" w:ascii="Times New Roman" w:hAnsi="Times New Roman" w:eastAsia="仿宋_GB2312" w:cs="Times New Roman"/>
          <w:color w:val="000000"/>
          <w:sz w:val="32"/>
          <w:szCs w:val="32"/>
          <w:lang w:val="en-US" w:eastAsia="zh-CN"/>
        </w:rPr>
        <w:t>2.47</w:t>
      </w:r>
      <w:r>
        <w:rPr>
          <w:rFonts w:hint="eastAsia" w:ascii="Times New Roman" w:hAnsi="Times New Roman" w:eastAsia="仿宋_GB2312" w:cs="Times New Roman"/>
          <w:color w:val="000000"/>
          <w:sz w:val="32"/>
          <w:szCs w:val="32"/>
        </w:rPr>
        <w:t>%。主要为绩效考核奖励增加。</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（20）债券付息支出10950万元，比上年增加1550万元，增长16%。</w:t>
      </w:r>
    </w:p>
    <w:p>
      <w:pPr>
        <w:spacing w:line="60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（二）政府性基金收支预算</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2020年，本级政府性基金收入预算176000万元，其中国有土地使用权出让收入28</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00万元，城市基础设施配套费收入100万元，车辆通行费收入50万元，污水处理费收入750万元，其他基金收入146500万元。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2020年，本级政府性基金支出预算80</w:t>
      </w: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rPr>
        <w:t>80万元</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调出资金95200万元。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政府性基金支出80</w:t>
      </w:r>
      <w:r>
        <w:rPr>
          <w:rFonts w:hint="eastAsia" w:ascii="Times New Roman" w:hAnsi="Times New Roman" w:eastAsia="仿宋_GB2312" w:cs="Times New Roman"/>
          <w:color w:val="000000"/>
          <w:sz w:val="32"/>
          <w:szCs w:val="32"/>
          <w:lang w:val="en-US" w:eastAsia="zh-CN"/>
        </w:rPr>
        <w:t>80</w:t>
      </w:r>
      <w:r>
        <w:rPr>
          <w:rFonts w:hint="eastAsia" w:ascii="Times New Roman" w:hAnsi="Times New Roman" w:eastAsia="仿宋_GB2312" w:cs="Times New Roman"/>
          <w:color w:val="000000"/>
          <w:sz w:val="32"/>
          <w:szCs w:val="32"/>
        </w:rPr>
        <w:t>0万元预算构成是：</w:t>
      </w:r>
    </w:p>
    <w:p>
      <w:pPr>
        <w:numPr>
          <w:ilvl w:val="0"/>
          <w:numId w:val="1"/>
        </w:numPr>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国有土地使用权出让收入安排支出26</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00万元。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、车辆通行费支出50万元。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、污水处理费安排的支出750万元。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rPr>
        <w:t>、城市基础设施配套安排支出100万元。</w:t>
      </w:r>
      <w:bookmarkStart w:id="0" w:name="_GoBack"/>
      <w:bookmarkEnd w:id="0"/>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其他政府性基金支出53300万元。主要用于七湖治理5000万元；大通湖流域水环境治理5000万元；乡村振兴5000万元；五城同创、老城区建设、黑臭水体治理等5000万元；农村公路30000万元；乡镇污水处理支出2100万元；村村响400万元；户户通27.5万元。</w:t>
      </w:r>
    </w:p>
    <w:p>
      <w:pPr>
        <w:spacing w:line="60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（三）社会保险基金收支预算</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2020年，全市社会保险基金收入133260万元。其中，保险费收入59878万元，利息收入569万元，财政补贴收入 72185万元，转移收入550万元，其他收入78万元。按险种分：机关事业单位养老保险基金48895万元、城乡居民基本养老保险基金17347万元、城镇职工基本医疗保险基金（含生育保险）12146万元、居民基本医疗保险基金51445万元、工伤保险基金3064万元、失业保险基金363万元。（注：企业职工基本养老保险基金预算由省财政统一编制，并统一下达每年各县市区本级财政安排数和征缴任务数，各县市区不另行编制预算，所以本次预算数不含企业职工基本养老保险基金数据）。</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全市社会保险基金支出129420万元。其中，机关事业单位养老保险基金48895万元、城乡居民基本养老保险基金18059万元、城镇职工基本医疗保险基金（含生育保险）10326元、居民基本医疗保险基金49766万元、工伤保险基金 2165万元、失业保险基金209万元。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全市社会保险基金收支本年结余3840万元，年末滚存结余96852万元。其中，机关事业单位养老保险基金2647万元、城乡居民基本养老保险基金50225万元、城镇职工基本医疗保险基金（含生育保险）19548万元、居民基本医疗保险基金17751万元、工伤保险基金3750万元、失业保险基金2931万元。 </w:t>
      </w:r>
    </w:p>
    <w:p>
      <w:pPr>
        <w:spacing w:line="60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（四）国有资本经营预算</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2020年，国有资本经营预算收入2000万元，主要为股利、股息收入。其中：琼湖投资建设开发有限公司1000万元，桔城产业发展投资有限公司850万元，粮油购销总公司150万元。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国有资本经营预算支出2000万元作为调出资金，调入一般公共预算。</w:t>
      </w:r>
    </w:p>
    <w:p>
      <w:pPr>
        <w:spacing w:line="600" w:lineRule="exact"/>
        <w:ind w:firstLine="643" w:firstLineChars="200"/>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（五）预算编制的特点</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镇（办事处）保障进一步加大。一是在保障人员经费与公用经费的基础上按实保障绩效奖励资金，全年预计增加投入400万元；二是镇（办事处）引进的企业，实行税收分成，将市级实得财力部分给予一定比例的分成。三是鼓励镇（办事处）发展小城镇建设，土地出让金按园区的政策予以落实。四是市</w:t>
      </w:r>
      <w:r>
        <w:rPr>
          <w:rFonts w:ascii="Times New Roman" w:hAnsi="Times New Roman" w:eastAsia="仿宋_GB2312" w:cs="Times New Roman"/>
          <w:color w:val="000000"/>
          <w:sz w:val="32"/>
          <w:szCs w:val="32"/>
        </w:rPr>
        <w:t>本级</w:t>
      </w:r>
      <w:r>
        <w:rPr>
          <w:rFonts w:hint="eastAsia" w:ascii="Times New Roman" w:hAnsi="Times New Roman" w:eastAsia="仿宋_GB2312" w:cs="Times New Roman"/>
          <w:color w:val="000000"/>
          <w:sz w:val="32"/>
          <w:szCs w:val="32"/>
        </w:rPr>
        <w:t>布置的重点工作匹配部分工作经费，逐步完善财权与事权相统一的财政体制。</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2、支出结构进一步优化。一是突出“三保”支出优先保障原则，人员支出不留硬缺口，2020年财政保障人员基本支出和运转经费达到17.53亿元，占当年财力的70.2%；二是牢固树立过</w:t>
      </w:r>
      <w:r>
        <w:rPr>
          <w:rFonts w:hint="eastAsia" w:ascii="仿宋_GB2312" w:hAnsi="Times New Roman" w:eastAsia="仿宋_GB2312" w:cs="Times New Roman"/>
          <w:color w:val="000000"/>
          <w:sz w:val="32"/>
          <w:szCs w:val="32"/>
        </w:rPr>
        <w:t>“紧日子”的思</w:t>
      </w:r>
      <w:r>
        <w:rPr>
          <w:rFonts w:hint="eastAsia" w:ascii="Times New Roman" w:hAnsi="Times New Roman" w:eastAsia="仿宋_GB2312" w:cs="Times New Roman"/>
          <w:color w:val="000000"/>
          <w:sz w:val="32"/>
          <w:szCs w:val="32"/>
        </w:rPr>
        <w:t>想，对2019年预算进行了认真梳理，大力压减一般性支出，对全市各单位压减单位专项20%，将节约出的资金约2000万元优先用于“三保”支出；三是大力发展市域经济，安排工业产业扶持基金3000万元、农业产业扶持资金1000万元、立项增资奖励400万元、项目前期工作经费1000万元；四是加大重点项目的投入，安排重点建设、环境整治、乡村振兴20000万元，农村公路建设30000万元，乡镇污水处理厂建设2100万元。</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前期工作进一步加强。一是在人大常委会的组织下对相关重点单位的运行情况进行了认真调研，并且下到镇（办事处）与各代团进行了面对面的交流，做到预算的进一步公开化、透明化；二是为了深入了解我市镇（办事处）面临的新形势、新问题、新矛盾，进一步完善镇（办事处）基本财力保障机制，增强其财政平稳运行能力，专题对具有代表性的六个地方开展了实地调研，就财政体制、财源建设、财政收支等进行了全面了解；三是为了完善部门预算编制，对机构改革新成立的单位以及职能划转变动较大的单位进行了对接，确保各单位2020年的正常运转。</w:t>
      </w:r>
    </w:p>
    <w:p>
      <w:pPr>
        <w:spacing w:line="600" w:lineRule="exact"/>
        <w:ind w:firstLine="640" w:firstLineChars="200"/>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三、</w:t>
      </w:r>
      <w:r>
        <w:rPr>
          <w:rFonts w:ascii="Times New Roman" w:hAnsi="Times New Roman" w:eastAsia="黑体" w:cs="Times New Roman"/>
          <w:color w:val="000000"/>
          <w:sz w:val="32"/>
          <w:szCs w:val="32"/>
        </w:rPr>
        <w:t>2020</w:t>
      </w:r>
      <w:r>
        <w:rPr>
          <w:rFonts w:ascii="Times New Roman" w:hAnsi="黑体" w:eastAsia="黑体" w:cs="Times New Roman"/>
          <w:color w:val="000000"/>
          <w:sz w:val="32"/>
          <w:szCs w:val="32"/>
        </w:rPr>
        <w:t>年财政工作重点</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为顺利实施2020年财政预算，我们将突出重点抓好五个方面的工作：</w:t>
      </w:r>
    </w:p>
    <w:p>
      <w:pPr>
        <w:spacing w:line="600" w:lineRule="exact"/>
        <w:ind w:firstLine="643" w:firstLineChars="200"/>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一是加强税源建设。</w:t>
      </w:r>
      <w:r>
        <w:rPr>
          <w:rFonts w:hint="eastAsia" w:ascii="Times New Roman" w:hAnsi="Times New Roman" w:eastAsia="仿宋_GB2312" w:cs="Times New Roman"/>
          <w:color w:val="000000"/>
          <w:sz w:val="32"/>
          <w:szCs w:val="32"/>
        </w:rPr>
        <w:t>发挥财政政策和资金导向作用，加大工业园区、重点企业和重点项目支持力度，提升财政经济发展动力，着力培植财源，推动市域经济发展。</w:t>
      </w:r>
    </w:p>
    <w:p>
      <w:pPr>
        <w:spacing w:line="600" w:lineRule="exact"/>
        <w:ind w:firstLine="643" w:firstLineChars="200"/>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二是强化收入征管。</w:t>
      </w:r>
      <w:r>
        <w:rPr>
          <w:rFonts w:hint="eastAsia" w:ascii="Times New Roman" w:hAnsi="Times New Roman" w:eastAsia="仿宋_GB2312" w:cs="Times New Roman"/>
          <w:color w:val="000000"/>
          <w:sz w:val="32"/>
          <w:szCs w:val="32"/>
        </w:rPr>
        <w:t>创新征税方式，提高征税效率，坚持做到以旬保月、以月保季、以季保年。加强重点税源监控，加强零星税种征管与对“双定户”税收的检查监督，严厉打击各种偷税漏税行为，积极挖潜增收。</w:t>
      </w:r>
    </w:p>
    <w:p>
      <w:pPr>
        <w:spacing w:line="600" w:lineRule="exact"/>
        <w:ind w:firstLine="643" w:firstLineChars="200"/>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三是优化支出结构。</w:t>
      </w:r>
      <w:r>
        <w:rPr>
          <w:rFonts w:hint="eastAsia" w:ascii="Times New Roman" w:hAnsi="Times New Roman" w:eastAsia="仿宋_GB2312" w:cs="Times New Roman"/>
          <w:color w:val="000000"/>
          <w:sz w:val="32"/>
          <w:szCs w:val="32"/>
        </w:rPr>
        <w:t>严格执行预算，增强预算约束力，集中财力支持经济社会发展的重点领域和关键环节，促进财政有序发展；统筹财政资金，切实保障和改善民生，促进社会事业和谐发展；进一步贯彻落实上级关于厉行节约、严禁铺张浪费的规定，坚决压缩一般性支出，严控“三公”经费，努力降低行政成本。</w:t>
      </w:r>
    </w:p>
    <w:p>
      <w:pPr>
        <w:spacing w:line="600" w:lineRule="exact"/>
        <w:ind w:firstLine="643" w:firstLineChars="200"/>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四是深化财政改革。</w:t>
      </w:r>
      <w:r>
        <w:rPr>
          <w:rFonts w:hint="eastAsia" w:ascii="Times New Roman" w:hAnsi="Times New Roman" w:eastAsia="仿宋_GB2312" w:cs="Times New Roman"/>
          <w:color w:val="000000"/>
          <w:sz w:val="32"/>
          <w:szCs w:val="32"/>
        </w:rPr>
        <w:t>推进管理创新，促进财政机制不断完善。围绕健全公共财政体制，积极推进财政“三项改革”和科学化精细化财政管理，提高财政资金的实效性和安全性，推动财政科学发展。</w:t>
      </w:r>
    </w:p>
    <w:p>
      <w:pPr>
        <w:spacing w:line="600" w:lineRule="exact"/>
        <w:ind w:firstLine="643" w:firstLineChars="200"/>
        <w:rPr>
          <w:rFonts w:ascii="Times New Roman" w:hAnsi="Times New Roman" w:eastAsia="仿宋_GB2312" w:cs="Times New Roman"/>
          <w:color w:val="000000"/>
          <w:sz w:val="32"/>
          <w:szCs w:val="32"/>
        </w:rPr>
      </w:pPr>
      <w:r>
        <w:rPr>
          <w:rFonts w:hint="eastAsia" w:ascii="楷体_GB2312" w:hAnsi="Times New Roman" w:eastAsia="楷体_GB2312" w:cs="Times New Roman"/>
          <w:b/>
          <w:color w:val="000000"/>
          <w:sz w:val="32"/>
          <w:szCs w:val="32"/>
        </w:rPr>
        <w:t>五是着力防范风险。</w:t>
      </w:r>
      <w:r>
        <w:rPr>
          <w:rFonts w:hint="eastAsia" w:ascii="Times New Roman" w:hAnsi="Times New Roman" w:eastAsia="仿宋_GB2312" w:cs="Times New Roman"/>
          <w:color w:val="000000"/>
          <w:sz w:val="32"/>
          <w:szCs w:val="32"/>
        </w:rPr>
        <w:t>进一步强化政府债务管理，加大两家国有公司融资力度，特别是战略性融资力度，积极争取新增债券资金，设立偿债准备金，确保2020年偿债计划任务圆满完成，严控风险红线，确保不出现政府性债务风险。严格执行专项资金申报、审批、拨付制度和财政资金借款制度，进一步研究完善财政资金管理制度，确保财政资金运行安全、有序、高效。</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位代表，2020年，我们将在党的十九大和十九届四中全会精神指引下，在市委的正确领导下，自觉接受市人大的监督，认真听取市政协的意见和建议，切实贯彻落实好本次会议的各项决议和要求，以更开阔的思路、更昂扬的精神、更得力的措施，解放思想、改革创新、真抓实干，确保2020年财政收支预算任务的全面完成，为促进全市经济和社会事业的科学发展做出新的贡献。</w:t>
      </w:r>
    </w:p>
    <w:sectPr>
      <w:footerReference r:id="rId3" w:type="default"/>
      <w:pgSz w:w="11906" w:h="16838"/>
      <w:pgMar w:top="1701" w:right="1418" w:bottom="1701" w:left="170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Fonts w:cs="Calibri"/>
      </w:rPr>
      <w:fldChar w:fldCharType="begin"/>
    </w:r>
    <w:r>
      <w:rPr>
        <w:rStyle w:val="13"/>
        <w:rFonts w:cs="Calibri"/>
      </w:rPr>
      <w:instrText xml:space="preserve">PAGE  </w:instrText>
    </w:r>
    <w:r>
      <w:rPr>
        <w:rStyle w:val="13"/>
        <w:rFonts w:cs="Calibri"/>
      </w:rPr>
      <w:fldChar w:fldCharType="separate"/>
    </w:r>
    <w:r>
      <w:rPr>
        <w:rStyle w:val="13"/>
        <w:rFonts w:cs="Calibri"/>
      </w:rPr>
      <w:t>6</w:t>
    </w:r>
    <w:r>
      <w:rPr>
        <w:rStyle w:val="13"/>
        <w:rFonts w:cs="Calibri"/>
      </w:rP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3258B"/>
    <w:multiLevelType w:val="singleLevel"/>
    <w:tmpl w:val="5E0325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18647AA7"/>
    <w:rsid w:val="0000419F"/>
    <w:rsid w:val="00011D2B"/>
    <w:rsid w:val="000242F0"/>
    <w:rsid w:val="00043636"/>
    <w:rsid w:val="000462DC"/>
    <w:rsid w:val="00047BB6"/>
    <w:rsid w:val="00047E52"/>
    <w:rsid w:val="000659B1"/>
    <w:rsid w:val="00080058"/>
    <w:rsid w:val="00080400"/>
    <w:rsid w:val="00094B43"/>
    <w:rsid w:val="00096AD2"/>
    <w:rsid w:val="00097385"/>
    <w:rsid w:val="000A04E0"/>
    <w:rsid w:val="000A3C2D"/>
    <w:rsid w:val="000A5655"/>
    <w:rsid w:val="000A6A4E"/>
    <w:rsid w:val="000E06EB"/>
    <w:rsid w:val="000E3342"/>
    <w:rsid w:val="000F4A96"/>
    <w:rsid w:val="00103B54"/>
    <w:rsid w:val="00106573"/>
    <w:rsid w:val="001116F7"/>
    <w:rsid w:val="00111855"/>
    <w:rsid w:val="001159DA"/>
    <w:rsid w:val="001256D1"/>
    <w:rsid w:val="00130F44"/>
    <w:rsid w:val="001315A8"/>
    <w:rsid w:val="00141A82"/>
    <w:rsid w:val="001451BB"/>
    <w:rsid w:val="001453BC"/>
    <w:rsid w:val="001528DE"/>
    <w:rsid w:val="00153A5D"/>
    <w:rsid w:val="0015631C"/>
    <w:rsid w:val="00160B56"/>
    <w:rsid w:val="001817BC"/>
    <w:rsid w:val="00190ED8"/>
    <w:rsid w:val="00190F58"/>
    <w:rsid w:val="00191417"/>
    <w:rsid w:val="001A16FC"/>
    <w:rsid w:val="001A1836"/>
    <w:rsid w:val="001A6C56"/>
    <w:rsid w:val="001B28B7"/>
    <w:rsid w:val="001C59A4"/>
    <w:rsid w:val="001E156A"/>
    <w:rsid w:val="001E30B4"/>
    <w:rsid w:val="001E58F7"/>
    <w:rsid w:val="001F2FD5"/>
    <w:rsid w:val="001F3838"/>
    <w:rsid w:val="001F460D"/>
    <w:rsid w:val="001F794C"/>
    <w:rsid w:val="00203FC8"/>
    <w:rsid w:val="00210B51"/>
    <w:rsid w:val="00210EA6"/>
    <w:rsid w:val="002135B4"/>
    <w:rsid w:val="00216802"/>
    <w:rsid w:val="0022333A"/>
    <w:rsid w:val="002262B1"/>
    <w:rsid w:val="00227E15"/>
    <w:rsid w:val="00231DA2"/>
    <w:rsid w:val="00232203"/>
    <w:rsid w:val="00232888"/>
    <w:rsid w:val="00235E2F"/>
    <w:rsid w:val="00240F0C"/>
    <w:rsid w:val="002475E8"/>
    <w:rsid w:val="00261858"/>
    <w:rsid w:val="00264B68"/>
    <w:rsid w:val="00267904"/>
    <w:rsid w:val="00275852"/>
    <w:rsid w:val="00281049"/>
    <w:rsid w:val="0028717F"/>
    <w:rsid w:val="00287CFA"/>
    <w:rsid w:val="00290E83"/>
    <w:rsid w:val="002A09CF"/>
    <w:rsid w:val="002A0BC1"/>
    <w:rsid w:val="002A34FD"/>
    <w:rsid w:val="002A62ED"/>
    <w:rsid w:val="002A7CD0"/>
    <w:rsid w:val="002B0EFD"/>
    <w:rsid w:val="002C3EDE"/>
    <w:rsid w:val="002D316B"/>
    <w:rsid w:val="002D7224"/>
    <w:rsid w:val="002D76D7"/>
    <w:rsid w:val="002E4E46"/>
    <w:rsid w:val="002E7221"/>
    <w:rsid w:val="00307240"/>
    <w:rsid w:val="00315FE8"/>
    <w:rsid w:val="00324345"/>
    <w:rsid w:val="0033252E"/>
    <w:rsid w:val="00347A73"/>
    <w:rsid w:val="00354312"/>
    <w:rsid w:val="00363638"/>
    <w:rsid w:val="0037751A"/>
    <w:rsid w:val="003848C1"/>
    <w:rsid w:val="00384A64"/>
    <w:rsid w:val="00394AD7"/>
    <w:rsid w:val="00395BF2"/>
    <w:rsid w:val="003978FA"/>
    <w:rsid w:val="003B0494"/>
    <w:rsid w:val="003B5834"/>
    <w:rsid w:val="003C2DF6"/>
    <w:rsid w:val="003C3BCE"/>
    <w:rsid w:val="003C4A24"/>
    <w:rsid w:val="003C7BBE"/>
    <w:rsid w:val="003D1A95"/>
    <w:rsid w:val="003D41A5"/>
    <w:rsid w:val="003D4E3D"/>
    <w:rsid w:val="003D50A8"/>
    <w:rsid w:val="003E0EED"/>
    <w:rsid w:val="003E2E91"/>
    <w:rsid w:val="003E592A"/>
    <w:rsid w:val="00400976"/>
    <w:rsid w:val="00405DAD"/>
    <w:rsid w:val="00413E84"/>
    <w:rsid w:val="00421BDE"/>
    <w:rsid w:val="0043127E"/>
    <w:rsid w:val="0043204F"/>
    <w:rsid w:val="00436C2E"/>
    <w:rsid w:val="0044363A"/>
    <w:rsid w:val="00453808"/>
    <w:rsid w:val="00471B1A"/>
    <w:rsid w:val="00476992"/>
    <w:rsid w:val="004779E8"/>
    <w:rsid w:val="004801FC"/>
    <w:rsid w:val="00480FF7"/>
    <w:rsid w:val="00482032"/>
    <w:rsid w:val="00486B33"/>
    <w:rsid w:val="004A6C02"/>
    <w:rsid w:val="004B3DB8"/>
    <w:rsid w:val="004C06B8"/>
    <w:rsid w:val="004C63EE"/>
    <w:rsid w:val="004D01BA"/>
    <w:rsid w:val="004D451F"/>
    <w:rsid w:val="004D54FC"/>
    <w:rsid w:val="004E4213"/>
    <w:rsid w:val="004F13FC"/>
    <w:rsid w:val="004F52A1"/>
    <w:rsid w:val="0050409D"/>
    <w:rsid w:val="0050466C"/>
    <w:rsid w:val="00504B97"/>
    <w:rsid w:val="00512AD2"/>
    <w:rsid w:val="005155DD"/>
    <w:rsid w:val="00515C67"/>
    <w:rsid w:val="00517DE0"/>
    <w:rsid w:val="00520F93"/>
    <w:rsid w:val="0052108A"/>
    <w:rsid w:val="005217C5"/>
    <w:rsid w:val="00525A1F"/>
    <w:rsid w:val="00525DEB"/>
    <w:rsid w:val="00534037"/>
    <w:rsid w:val="005469CA"/>
    <w:rsid w:val="00546EE6"/>
    <w:rsid w:val="00550413"/>
    <w:rsid w:val="00562023"/>
    <w:rsid w:val="00563068"/>
    <w:rsid w:val="00577B17"/>
    <w:rsid w:val="00586BFD"/>
    <w:rsid w:val="005877BA"/>
    <w:rsid w:val="00596D52"/>
    <w:rsid w:val="005A5F58"/>
    <w:rsid w:val="005A7390"/>
    <w:rsid w:val="005C73BB"/>
    <w:rsid w:val="005E18CA"/>
    <w:rsid w:val="005E1FED"/>
    <w:rsid w:val="005E24E9"/>
    <w:rsid w:val="005E7587"/>
    <w:rsid w:val="005F4B0E"/>
    <w:rsid w:val="00601784"/>
    <w:rsid w:val="00601F6D"/>
    <w:rsid w:val="00624ED6"/>
    <w:rsid w:val="00630989"/>
    <w:rsid w:val="006410ED"/>
    <w:rsid w:val="00645BD8"/>
    <w:rsid w:val="00650C5D"/>
    <w:rsid w:val="00654962"/>
    <w:rsid w:val="006718C2"/>
    <w:rsid w:val="00671998"/>
    <w:rsid w:val="006719BF"/>
    <w:rsid w:val="0068356B"/>
    <w:rsid w:val="00683D1A"/>
    <w:rsid w:val="006840F5"/>
    <w:rsid w:val="0069083A"/>
    <w:rsid w:val="00692FCE"/>
    <w:rsid w:val="006952C3"/>
    <w:rsid w:val="00695C41"/>
    <w:rsid w:val="006A7770"/>
    <w:rsid w:val="006B024B"/>
    <w:rsid w:val="006B3556"/>
    <w:rsid w:val="006B700C"/>
    <w:rsid w:val="006C26BC"/>
    <w:rsid w:val="006C67D6"/>
    <w:rsid w:val="006D5C79"/>
    <w:rsid w:val="006D7366"/>
    <w:rsid w:val="006E0C5C"/>
    <w:rsid w:val="006E477B"/>
    <w:rsid w:val="006F1A3B"/>
    <w:rsid w:val="006F5726"/>
    <w:rsid w:val="007074D5"/>
    <w:rsid w:val="00710956"/>
    <w:rsid w:val="00713361"/>
    <w:rsid w:val="00713781"/>
    <w:rsid w:val="00713AAC"/>
    <w:rsid w:val="00714F79"/>
    <w:rsid w:val="00726263"/>
    <w:rsid w:val="00726D8A"/>
    <w:rsid w:val="00726EC2"/>
    <w:rsid w:val="00731E5B"/>
    <w:rsid w:val="007329AB"/>
    <w:rsid w:val="00740ED8"/>
    <w:rsid w:val="00746B17"/>
    <w:rsid w:val="00755C1E"/>
    <w:rsid w:val="0075712D"/>
    <w:rsid w:val="0076367C"/>
    <w:rsid w:val="00765B0F"/>
    <w:rsid w:val="0077088F"/>
    <w:rsid w:val="00770B43"/>
    <w:rsid w:val="00771452"/>
    <w:rsid w:val="007751E1"/>
    <w:rsid w:val="00776821"/>
    <w:rsid w:val="00777BBC"/>
    <w:rsid w:val="00784AA7"/>
    <w:rsid w:val="00784E6A"/>
    <w:rsid w:val="0078573C"/>
    <w:rsid w:val="00795352"/>
    <w:rsid w:val="007A51FC"/>
    <w:rsid w:val="007A73D8"/>
    <w:rsid w:val="007A784F"/>
    <w:rsid w:val="007B0F22"/>
    <w:rsid w:val="007B1CDD"/>
    <w:rsid w:val="007D320C"/>
    <w:rsid w:val="007E0830"/>
    <w:rsid w:val="007F0CDF"/>
    <w:rsid w:val="007F3174"/>
    <w:rsid w:val="007F7CB1"/>
    <w:rsid w:val="00805962"/>
    <w:rsid w:val="008109E9"/>
    <w:rsid w:val="00811FEB"/>
    <w:rsid w:val="00822A4C"/>
    <w:rsid w:val="00831452"/>
    <w:rsid w:val="008371EB"/>
    <w:rsid w:val="00872BB1"/>
    <w:rsid w:val="00872D9D"/>
    <w:rsid w:val="00883CDE"/>
    <w:rsid w:val="008905B1"/>
    <w:rsid w:val="00891C86"/>
    <w:rsid w:val="00896984"/>
    <w:rsid w:val="0089706B"/>
    <w:rsid w:val="008A1332"/>
    <w:rsid w:val="008A4E14"/>
    <w:rsid w:val="008C1CEE"/>
    <w:rsid w:val="008C3581"/>
    <w:rsid w:val="008C5646"/>
    <w:rsid w:val="008D1011"/>
    <w:rsid w:val="008D1054"/>
    <w:rsid w:val="008D599B"/>
    <w:rsid w:val="008E1E03"/>
    <w:rsid w:val="008E34F8"/>
    <w:rsid w:val="008F2108"/>
    <w:rsid w:val="008F55BF"/>
    <w:rsid w:val="008F7172"/>
    <w:rsid w:val="00904BEA"/>
    <w:rsid w:val="00907030"/>
    <w:rsid w:val="00912BDE"/>
    <w:rsid w:val="009148CD"/>
    <w:rsid w:val="009308EF"/>
    <w:rsid w:val="00932DFD"/>
    <w:rsid w:val="00942EFB"/>
    <w:rsid w:val="00944424"/>
    <w:rsid w:val="00946EF2"/>
    <w:rsid w:val="009635C5"/>
    <w:rsid w:val="00963FE7"/>
    <w:rsid w:val="00974BE5"/>
    <w:rsid w:val="00986F2C"/>
    <w:rsid w:val="00987066"/>
    <w:rsid w:val="009902DD"/>
    <w:rsid w:val="009953EF"/>
    <w:rsid w:val="00996D18"/>
    <w:rsid w:val="009A30AD"/>
    <w:rsid w:val="009B0948"/>
    <w:rsid w:val="009D22AF"/>
    <w:rsid w:val="009E0DAC"/>
    <w:rsid w:val="009E2592"/>
    <w:rsid w:val="009F60C3"/>
    <w:rsid w:val="009F6D0E"/>
    <w:rsid w:val="009F7974"/>
    <w:rsid w:val="00A0281C"/>
    <w:rsid w:val="00A052D0"/>
    <w:rsid w:val="00A06AAA"/>
    <w:rsid w:val="00A10707"/>
    <w:rsid w:val="00A111B5"/>
    <w:rsid w:val="00A11CA5"/>
    <w:rsid w:val="00A149B2"/>
    <w:rsid w:val="00A15362"/>
    <w:rsid w:val="00A341EE"/>
    <w:rsid w:val="00A3606D"/>
    <w:rsid w:val="00A378D3"/>
    <w:rsid w:val="00A44839"/>
    <w:rsid w:val="00A46149"/>
    <w:rsid w:val="00A4799D"/>
    <w:rsid w:val="00A53D20"/>
    <w:rsid w:val="00A62FCD"/>
    <w:rsid w:val="00A73F53"/>
    <w:rsid w:val="00A75E80"/>
    <w:rsid w:val="00A83088"/>
    <w:rsid w:val="00A8645B"/>
    <w:rsid w:val="00A87E6F"/>
    <w:rsid w:val="00A95778"/>
    <w:rsid w:val="00A95E74"/>
    <w:rsid w:val="00AA103B"/>
    <w:rsid w:val="00AA4075"/>
    <w:rsid w:val="00AC4714"/>
    <w:rsid w:val="00AD3476"/>
    <w:rsid w:val="00AD71D7"/>
    <w:rsid w:val="00AE0B79"/>
    <w:rsid w:val="00AE2B6D"/>
    <w:rsid w:val="00AE74E6"/>
    <w:rsid w:val="00AF591C"/>
    <w:rsid w:val="00B00B39"/>
    <w:rsid w:val="00B050C8"/>
    <w:rsid w:val="00B073E3"/>
    <w:rsid w:val="00B07429"/>
    <w:rsid w:val="00B131E5"/>
    <w:rsid w:val="00B244C7"/>
    <w:rsid w:val="00B30AAD"/>
    <w:rsid w:val="00B35615"/>
    <w:rsid w:val="00B43CEC"/>
    <w:rsid w:val="00B46498"/>
    <w:rsid w:val="00B52CEB"/>
    <w:rsid w:val="00B60702"/>
    <w:rsid w:val="00B65520"/>
    <w:rsid w:val="00B74B53"/>
    <w:rsid w:val="00B83164"/>
    <w:rsid w:val="00B97FC2"/>
    <w:rsid w:val="00BB0397"/>
    <w:rsid w:val="00BC03CD"/>
    <w:rsid w:val="00BC638C"/>
    <w:rsid w:val="00BF7006"/>
    <w:rsid w:val="00C03ACE"/>
    <w:rsid w:val="00C03CCF"/>
    <w:rsid w:val="00C20AD6"/>
    <w:rsid w:val="00C22220"/>
    <w:rsid w:val="00C35966"/>
    <w:rsid w:val="00C4047B"/>
    <w:rsid w:val="00C446B8"/>
    <w:rsid w:val="00C62BDF"/>
    <w:rsid w:val="00C631DC"/>
    <w:rsid w:val="00C631EB"/>
    <w:rsid w:val="00C63F85"/>
    <w:rsid w:val="00C72765"/>
    <w:rsid w:val="00C83D62"/>
    <w:rsid w:val="00C90481"/>
    <w:rsid w:val="00C91B57"/>
    <w:rsid w:val="00C91F0F"/>
    <w:rsid w:val="00C953F7"/>
    <w:rsid w:val="00CA7250"/>
    <w:rsid w:val="00CB216D"/>
    <w:rsid w:val="00CB2D46"/>
    <w:rsid w:val="00CB372A"/>
    <w:rsid w:val="00CB7F19"/>
    <w:rsid w:val="00CC0516"/>
    <w:rsid w:val="00CC3431"/>
    <w:rsid w:val="00CC3B0F"/>
    <w:rsid w:val="00CC7C93"/>
    <w:rsid w:val="00CD4B6B"/>
    <w:rsid w:val="00CE16EC"/>
    <w:rsid w:val="00CE5943"/>
    <w:rsid w:val="00D015E1"/>
    <w:rsid w:val="00D06B07"/>
    <w:rsid w:val="00D229A6"/>
    <w:rsid w:val="00D33AB8"/>
    <w:rsid w:val="00D358DE"/>
    <w:rsid w:val="00D36648"/>
    <w:rsid w:val="00D56240"/>
    <w:rsid w:val="00D629F7"/>
    <w:rsid w:val="00D811D3"/>
    <w:rsid w:val="00D820BC"/>
    <w:rsid w:val="00D901C5"/>
    <w:rsid w:val="00DA05EB"/>
    <w:rsid w:val="00DA0B4B"/>
    <w:rsid w:val="00DB25C6"/>
    <w:rsid w:val="00DB5FDA"/>
    <w:rsid w:val="00DC6A55"/>
    <w:rsid w:val="00DC75B2"/>
    <w:rsid w:val="00DD2238"/>
    <w:rsid w:val="00DD44C4"/>
    <w:rsid w:val="00DF10A1"/>
    <w:rsid w:val="00DF645D"/>
    <w:rsid w:val="00E01370"/>
    <w:rsid w:val="00E241BF"/>
    <w:rsid w:val="00E3644D"/>
    <w:rsid w:val="00E527DE"/>
    <w:rsid w:val="00E55811"/>
    <w:rsid w:val="00E6153A"/>
    <w:rsid w:val="00E620A0"/>
    <w:rsid w:val="00E621C3"/>
    <w:rsid w:val="00E6784C"/>
    <w:rsid w:val="00E67F8A"/>
    <w:rsid w:val="00E71C9D"/>
    <w:rsid w:val="00E75C82"/>
    <w:rsid w:val="00E77689"/>
    <w:rsid w:val="00E85742"/>
    <w:rsid w:val="00E85D25"/>
    <w:rsid w:val="00E9384B"/>
    <w:rsid w:val="00E963B0"/>
    <w:rsid w:val="00EA2B1E"/>
    <w:rsid w:val="00EA3776"/>
    <w:rsid w:val="00EA636B"/>
    <w:rsid w:val="00EB2BCE"/>
    <w:rsid w:val="00EC7D8D"/>
    <w:rsid w:val="00ED0F7C"/>
    <w:rsid w:val="00ED37EC"/>
    <w:rsid w:val="00EE201E"/>
    <w:rsid w:val="00EE320F"/>
    <w:rsid w:val="00EF0F49"/>
    <w:rsid w:val="00EF2EA4"/>
    <w:rsid w:val="00EF584F"/>
    <w:rsid w:val="00F00A98"/>
    <w:rsid w:val="00F011B1"/>
    <w:rsid w:val="00F01933"/>
    <w:rsid w:val="00F1038A"/>
    <w:rsid w:val="00F22C26"/>
    <w:rsid w:val="00F24151"/>
    <w:rsid w:val="00F24E50"/>
    <w:rsid w:val="00F26AA5"/>
    <w:rsid w:val="00F27183"/>
    <w:rsid w:val="00F31082"/>
    <w:rsid w:val="00F477C6"/>
    <w:rsid w:val="00F513B7"/>
    <w:rsid w:val="00F54F69"/>
    <w:rsid w:val="00F71EF6"/>
    <w:rsid w:val="00F737BE"/>
    <w:rsid w:val="00F91CAC"/>
    <w:rsid w:val="00F93433"/>
    <w:rsid w:val="00F93C70"/>
    <w:rsid w:val="00F9645A"/>
    <w:rsid w:val="00FA673A"/>
    <w:rsid w:val="00FA6B52"/>
    <w:rsid w:val="00FA6D3D"/>
    <w:rsid w:val="00FB2AD2"/>
    <w:rsid w:val="00FB7667"/>
    <w:rsid w:val="00FB77B8"/>
    <w:rsid w:val="00FD365C"/>
    <w:rsid w:val="00FD4D70"/>
    <w:rsid w:val="00FD6E6C"/>
    <w:rsid w:val="00FE30A4"/>
    <w:rsid w:val="00FE3372"/>
    <w:rsid w:val="00FF7285"/>
    <w:rsid w:val="14DF748C"/>
    <w:rsid w:val="16DB0ED1"/>
    <w:rsid w:val="18647AA7"/>
    <w:rsid w:val="1A5F1416"/>
    <w:rsid w:val="1C840CA2"/>
    <w:rsid w:val="1CEB180A"/>
    <w:rsid w:val="250C013D"/>
    <w:rsid w:val="28E72AC0"/>
    <w:rsid w:val="29B55334"/>
    <w:rsid w:val="2C4E4D1B"/>
    <w:rsid w:val="2F653A04"/>
    <w:rsid w:val="2FF76E84"/>
    <w:rsid w:val="315F5A4C"/>
    <w:rsid w:val="3C3453FA"/>
    <w:rsid w:val="412C50A9"/>
    <w:rsid w:val="41741CE7"/>
    <w:rsid w:val="45BC4A86"/>
    <w:rsid w:val="510E26F1"/>
    <w:rsid w:val="51AE42B6"/>
    <w:rsid w:val="51D62CDC"/>
    <w:rsid w:val="53D149AF"/>
    <w:rsid w:val="5590708F"/>
    <w:rsid w:val="5D5D7E6E"/>
    <w:rsid w:val="6354561E"/>
    <w:rsid w:val="636B7EB4"/>
    <w:rsid w:val="63B91EE2"/>
    <w:rsid w:val="69052101"/>
    <w:rsid w:val="6DDD6BC3"/>
    <w:rsid w:val="6E576656"/>
    <w:rsid w:val="700B3BF1"/>
    <w:rsid w:val="73C3038B"/>
    <w:rsid w:val="7B7E71B1"/>
    <w:rsid w:val="7BAD5638"/>
    <w:rsid w:val="7BBD6A7F"/>
    <w:rsid w:val="7DEF04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27"/>
    <w:qFormat/>
    <w:locked/>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22"/>
    <w:unhideWhenUsed/>
    <w:qFormat/>
    <w:uiPriority w:val="0"/>
    <w:pPr>
      <w:ind w:firstLine="420" w:firstLineChars="100"/>
    </w:pPr>
    <w:rPr>
      <w:rFonts w:cs="Times New Roman"/>
      <w:szCs w:val="24"/>
    </w:rPr>
  </w:style>
  <w:style w:type="paragraph" w:styleId="4">
    <w:name w:val="Body Text"/>
    <w:basedOn w:val="1"/>
    <w:link w:val="21"/>
    <w:unhideWhenUsed/>
    <w:qFormat/>
    <w:uiPriority w:val="99"/>
    <w:pPr>
      <w:spacing w:after="120"/>
    </w:pPr>
  </w:style>
  <w:style w:type="paragraph" w:styleId="5">
    <w:name w:val="annotation text"/>
    <w:basedOn w:val="1"/>
    <w:link w:val="24"/>
    <w:semiHidden/>
    <w:qFormat/>
    <w:uiPriority w:val="99"/>
    <w:pPr>
      <w:spacing w:beforeLines="50" w:afterLines="50" w:line="580" w:lineRule="exact"/>
      <w:ind w:firstLine="200" w:firstLineChars="200"/>
      <w:jc w:val="left"/>
    </w:pPr>
    <w:rPr>
      <w:rFonts w:ascii="Times New Roman" w:hAnsi="Times New Roman" w:eastAsia="仿宋" w:cs="Times New Roman"/>
      <w:kern w:val="0"/>
      <w:sz w:val="28"/>
      <w:szCs w:val="20"/>
    </w:rPr>
  </w:style>
  <w:style w:type="paragraph" w:styleId="6">
    <w:name w:val="Body Text Indent"/>
    <w:basedOn w:val="1"/>
    <w:link w:val="16"/>
    <w:qFormat/>
    <w:uiPriority w:val="99"/>
    <w:pPr>
      <w:adjustRightInd w:val="0"/>
      <w:snapToGrid w:val="0"/>
      <w:spacing w:line="590" w:lineRule="atLeast"/>
      <w:ind w:firstLine="200" w:firstLineChars="200"/>
    </w:pPr>
    <w:rPr>
      <w:rFonts w:ascii="Times New Roman" w:hAnsi="Times New Roman" w:eastAsia="仿宋_GB2312" w:cs="Times New Roman"/>
      <w:spacing w:val="8"/>
      <w:kern w:val="0"/>
      <w:sz w:val="30"/>
      <w:szCs w:val="30"/>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locked/>
    <w:uiPriority w:val="39"/>
    <w:rPr>
      <w:rFonts w:cs="Times New Roman"/>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locked/>
    <w:uiPriority w:val="99"/>
    <w:rPr>
      <w:rFonts w:cs="Times New Roman"/>
      <w:b/>
      <w:bCs/>
    </w:rPr>
  </w:style>
  <w:style w:type="character" w:styleId="13">
    <w:name w:val="page number"/>
    <w:basedOn w:val="11"/>
    <w:qFormat/>
    <w:uiPriority w:val="99"/>
    <w:rPr>
      <w:rFonts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正文文本缩进 Char"/>
    <w:basedOn w:val="11"/>
    <w:link w:val="6"/>
    <w:semiHidden/>
    <w:qFormat/>
    <w:locked/>
    <w:uiPriority w:val="99"/>
    <w:rPr>
      <w:rFonts w:ascii="Calibri" w:hAnsi="Calibri" w:cs="Calibri"/>
      <w:sz w:val="21"/>
      <w:szCs w:val="21"/>
    </w:rPr>
  </w:style>
  <w:style w:type="character" w:customStyle="1" w:styleId="17">
    <w:name w:val="页脚 Char"/>
    <w:basedOn w:val="11"/>
    <w:link w:val="7"/>
    <w:semiHidden/>
    <w:qFormat/>
    <w:locked/>
    <w:uiPriority w:val="99"/>
    <w:rPr>
      <w:rFonts w:ascii="Calibri" w:hAnsi="Calibri" w:cs="Calibri"/>
      <w:sz w:val="18"/>
      <w:szCs w:val="18"/>
    </w:rPr>
  </w:style>
  <w:style w:type="character" w:customStyle="1" w:styleId="18">
    <w:name w:val="页眉 Char"/>
    <w:basedOn w:val="11"/>
    <w:link w:val="8"/>
    <w:semiHidden/>
    <w:qFormat/>
    <w:locked/>
    <w:uiPriority w:val="99"/>
    <w:rPr>
      <w:rFonts w:ascii="Calibri" w:hAnsi="Calibri" w:cs="Calibri"/>
      <w:sz w:val="18"/>
      <w:szCs w:val="18"/>
    </w:rPr>
  </w:style>
  <w:style w:type="paragraph" w:customStyle="1" w:styleId="19">
    <w:name w:val="Char Char Char Char"/>
    <w:basedOn w:val="1"/>
    <w:qFormat/>
    <w:uiPriority w:val="99"/>
    <w:rPr>
      <w:rFonts w:ascii="Times New Roman" w:hAnsi="Times New Roman" w:cs="Times New Roman"/>
    </w:rPr>
  </w:style>
  <w:style w:type="character" w:customStyle="1" w:styleId="20">
    <w:name w:val="16"/>
    <w:basedOn w:val="11"/>
    <w:qFormat/>
    <w:uiPriority w:val="99"/>
    <w:rPr>
      <w:rFonts w:ascii="Times New Roman" w:hAnsi="Times New Roman" w:cs="Times New Roman"/>
      <w:b/>
      <w:bCs/>
    </w:rPr>
  </w:style>
  <w:style w:type="character" w:customStyle="1" w:styleId="21">
    <w:name w:val="正文文本 Char"/>
    <w:basedOn w:val="11"/>
    <w:link w:val="4"/>
    <w:semiHidden/>
    <w:qFormat/>
    <w:uiPriority w:val="99"/>
    <w:rPr>
      <w:rFonts w:ascii="Calibri" w:hAnsi="Calibri" w:cs="Calibri"/>
      <w:kern w:val="2"/>
      <w:sz w:val="21"/>
      <w:szCs w:val="21"/>
    </w:rPr>
  </w:style>
  <w:style w:type="character" w:customStyle="1" w:styleId="22">
    <w:name w:val="正文首行缩进 Char"/>
    <w:basedOn w:val="21"/>
    <w:link w:val="3"/>
    <w:semiHidden/>
    <w:qFormat/>
    <w:uiPriority w:val="0"/>
    <w:rPr>
      <w:szCs w:val="24"/>
    </w:rPr>
  </w:style>
  <w:style w:type="character" w:customStyle="1" w:styleId="23">
    <w:name w:val="批注文字 Char"/>
    <w:link w:val="5"/>
    <w:semiHidden/>
    <w:qFormat/>
    <w:locked/>
    <w:uiPriority w:val="99"/>
    <w:rPr>
      <w:rFonts w:eastAsia="仿宋"/>
      <w:sz w:val="28"/>
    </w:rPr>
  </w:style>
  <w:style w:type="character" w:customStyle="1" w:styleId="24">
    <w:name w:val="批注文字 Char1"/>
    <w:basedOn w:val="11"/>
    <w:link w:val="5"/>
    <w:semiHidden/>
    <w:qFormat/>
    <w:uiPriority w:val="99"/>
    <w:rPr>
      <w:rFonts w:ascii="Calibri" w:hAnsi="Calibri" w:cs="Calibri"/>
      <w:kern w:val="2"/>
      <w:sz w:val="21"/>
      <w:szCs w:val="21"/>
    </w:rPr>
  </w:style>
  <w:style w:type="paragraph" w:customStyle="1" w:styleId="25">
    <w:name w:val="列出段落1"/>
    <w:basedOn w:val="1"/>
    <w:qFormat/>
    <w:uiPriority w:val="34"/>
    <w:pPr>
      <w:ind w:firstLine="420" w:firstLineChars="200"/>
    </w:pPr>
    <w:rPr>
      <w:rFonts w:ascii="Times New Roman" w:hAnsi="Times New Roman" w:cs="Times New Roman"/>
    </w:rPr>
  </w:style>
  <w:style w:type="paragraph" w:customStyle="1" w:styleId="26">
    <w:name w:val="p0"/>
    <w:basedOn w:val="1"/>
    <w:qFormat/>
    <w:uiPriority w:val="0"/>
    <w:pPr>
      <w:widowControl/>
      <w:snapToGrid w:val="0"/>
      <w:spacing w:line="360" w:lineRule="auto"/>
    </w:pPr>
    <w:rPr>
      <w:rFonts w:hint="eastAsia" w:cs="Times New Roman"/>
      <w:kern w:val="0"/>
      <w:sz w:val="28"/>
      <w:szCs w:val="28"/>
    </w:rPr>
  </w:style>
  <w:style w:type="character" w:customStyle="1" w:styleId="27">
    <w:name w:val="标题 3 Char"/>
    <w:basedOn w:val="11"/>
    <w:link w:val="2"/>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B861E-D4FA-4A43-A15E-33B8395691BB}">
  <ds:schemaRefs/>
</ds:datastoreItem>
</file>

<file path=docProps/app.xml><?xml version="1.0" encoding="utf-8"?>
<Properties xmlns="http://schemas.openxmlformats.org/officeDocument/2006/extended-properties" xmlns:vt="http://schemas.openxmlformats.org/officeDocument/2006/docPropsVTypes">
  <Template>Normal.dotm</Template>
  <Company>城镇群建设办</Company>
  <Pages>17</Pages>
  <Words>1427</Words>
  <Characters>8134</Characters>
  <Lines>67</Lines>
  <Paragraphs>19</Paragraphs>
  <TotalTime>0</TotalTime>
  <ScaleCrop>false</ScaleCrop>
  <LinksUpToDate>false</LinksUpToDate>
  <CharactersWithSpaces>9542</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2019-12-24T08:15:00Z</dcterms:created>
  <dc:creator>杏色流苏</dc:creator>
  <cp:lastModifiedBy>SOYO</cp:lastModifiedBy>
  <cp:lastPrinted>2019-12-24T08:35:00Z</cp:lastPrinted>
  <dcterms:modified xsi:type="dcterms:W3CDTF">2019-12-25T09:01:17Z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