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ascii="宋体" w:hAnsi="宋体" w:eastAsia="宋体" w:cs="宋体"/>
          <w:sz w:val="44"/>
        </w:rPr>
      </w:pPr>
      <w:r>
        <w:rPr>
          <w:rFonts w:hint="eastAsia" w:ascii="宋体" w:hAnsi="宋体" w:eastAsia="宋体" w:cs="宋体"/>
          <w:sz w:val="44"/>
          <w:lang w:eastAsia="zh-CN"/>
        </w:rPr>
        <w:t>中共沅江市委组织部</w:t>
      </w:r>
      <w:r>
        <w:rPr>
          <w:rFonts w:ascii="宋体" w:hAnsi="宋体" w:eastAsia="宋体" w:cs="宋体"/>
          <w:sz w:val="44"/>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kern w:val="2"/>
          <w:sz w:val="44"/>
          <w:szCs w:val="22"/>
          <w:lang w:val="en-US" w:eastAsia="zh-CN" w:bidi="ar-SA"/>
        </w:rPr>
      </w:pPr>
      <w:r>
        <w:rPr>
          <w:rFonts w:hint="eastAsia" w:ascii="宋体" w:hAnsi="宋体" w:eastAsia="宋体" w:cs="宋体"/>
          <w:kern w:val="2"/>
          <w:sz w:val="44"/>
          <w:szCs w:val="22"/>
          <w:lang w:val="en-US" w:eastAsia="zh-CN" w:bidi="ar-SA"/>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第一部分 中共沅江市委</w:t>
      </w:r>
      <w:r>
        <w:rPr>
          <w:rFonts w:hint="eastAsia" w:ascii="黑体" w:hAnsi="宋体" w:eastAsia="黑体" w:cs="黑体"/>
          <w:i w:val="0"/>
          <w:iCs w:val="0"/>
          <w:caps w:val="0"/>
          <w:color w:val="333333"/>
          <w:spacing w:val="0"/>
          <w:sz w:val="32"/>
          <w:szCs w:val="32"/>
          <w:shd w:val="clear" w:fill="FFFFFF"/>
          <w:lang w:eastAsia="zh-CN"/>
        </w:rPr>
        <w:t>组织部</w:t>
      </w:r>
      <w:r>
        <w:rPr>
          <w:rFonts w:ascii="黑体" w:hAnsi="黑体" w:eastAsia="黑体" w:cs="黑体"/>
          <w:sz w:val="32"/>
        </w:rPr>
        <w:t xml:space="preserve">单位概况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第二部分 中共沅江市委</w:t>
      </w:r>
      <w:r>
        <w:rPr>
          <w:rFonts w:hint="eastAsia" w:ascii="黑体" w:hAnsi="宋体" w:eastAsia="黑体" w:cs="黑体"/>
          <w:i w:val="0"/>
          <w:iCs w:val="0"/>
          <w:caps w:val="0"/>
          <w:color w:val="333333"/>
          <w:spacing w:val="0"/>
          <w:sz w:val="32"/>
          <w:szCs w:val="32"/>
          <w:shd w:val="clear" w:fill="FFFFFF"/>
          <w:lang w:eastAsia="zh-CN"/>
        </w:rPr>
        <w:t>组织部</w:t>
      </w:r>
      <w:r>
        <w:rPr>
          <w:rFonts w:hint="eastAsia" w:ascii="黑体" w:hAnsi="宋体" w:eastAsia="黑体" w:cs="黑体"/>
          <w:i w:val="0"/>
          <w:iCs w:val="0"/>
          <w:caps w:val="0"/>
          <w:color w:val="333333"/>
          <w:spacing w:val="0"/>
          <w:sz w:val="32"/>
          <w:szCs w:val="32"/>
          <w:shd w:val="clear" w:fill="FFFFFF"/>
        </w:rPr>
        <w:t>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第三部分 中共沅江市委</w:t>
      </w:r>
      <w:r>
        <w:rPr>
          <w:rFonts w:hint="eastAsia" w:ascii="黑体" w:hAnsi="宋体" w:eastAsia="黑体" w:cs="黑体"/>
          <w:i w:val="0"/>
          <w:iCs w:val="0"/>
          <w:caps w:val="0"/>
          <w:color w:val="333333"/>
          <w:spacing w:val="0"/>
          <w:sz w:val="32"/>
          <w:szCs w:val="32"/>
          <w:shd w:val="clear" w:fill="FFFFFF"/>
          <w:lang w:eastAsia="zh-CN"/>
        </w:rPr>
        <w:t>组织部</w:t>
      </w:r>
      <w:r>
        <w:rPr>
          <w:rFonts w:hint="eastAsia" w:ascii="黑体" w:hAnsi="宋体" w:eastAsia="黑体" w:cs="黑体"/>
          <w:i w:val="0"/>
          <w:iCs w:val="0"/>
          <w:caps w:val="0"/>
          <w:color w:val="333333"/>
          <w:spacing w:val="0"/>
          <w:sz w:val="32"/>
          <w:szCs w:val="32"/>
          <w:shd w:val="clear" w:fill="FFFFFF"/>
        </w:rPr>
        <w:t>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六、关于</w:t>
      </w:r>
      <w:r>
        <w:rPr>
          <w:rFonts w:hint="eastAsia" w:ascii="楷体" w:hAnsi="楷体" w:eastAsia="楷体" w:cs="楷体"/>
          <w:i w:val="0"/>
          <w:iCs w:val="0"/>
          <w:caps w:val="0"/>
          <w:color w:val="333333"/>
          <w:spacing w:val="0"/>
          <w:sz w:val="32"/>
          <w:szCs w:val="32"/>
          <w:shd w:val="clear" w:fill="FFFFFF"/>
          <w:lang w:eastAsia="zh-CN"/>
        </w:rPr>
        <w:t>市委组织部2019</w:t>
      </w:r>
      <w:r>
        <w:rPr>
          <w:rFonts w:hint="eastAsia" w:ascii="楷体" w:hAnsi="楷体" w:eastAsia="楷体" w:cs="楷体"/>
          <w:i w:val="0"/>
          <w:iCs w:val="0"/>
          <w:caps w:val="0"/>
          <w:color w:val="333333"/>
          <w:spacing w:val="0"/>
          <w:sz w:val="32"/>
          <w:szCs w:val="32"/>
          <w:shd w:val="clear" w:fill="FFFFFF"/>
        </w:rPr>
        <w:t xml:space="preserve"> 年度一般公共预算财政拨款基本支出决算情况说明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jc w:val="center"/>
        <w:rPr>
          <w:rFonts w:ascii="微软雅黑" w:hAnsi="微软雅黑" w:eastAsia="微软雅黑" w:cs="微软雅黑"/>
          <w:b/>
          <w:color w:val="000000"/>
          <w:sz w:val="45"/>
          <w:szCs w:val="45"/>
        </w:rPr>
      </w:pPr>
      <w:r>
        <w:rPr>
          <w:rFonts w:hint="eastAsia" w:ascii="微软雅黑" w:hAnsi="微软雅黑" w:eastAsia="微软雅黑" w:cs="微软雅黑"/>
          <w:b/>
          <w:color w:val="000000"/>
          <w:kern w:val="0"/>
          <w:sz w:val="45"/>
          <w:szCs w:val="45"/>
          <w:lang w:val="en-US" w:eastAsia="zh-CN" w:bidi="ar"/>
        </w:rPr>
        <w:t>中共沅江市委组织部2019年部门决算说明及决算公示表</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中共沅江市委组织部</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一）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二）负责干部队伍建设的规划和指导工作。研究拟订加强全市干部队伍建设整体规划和工作措施；负责对市委管理的领导班子进行考察了解，向市委提出调整配备的意见和建议；负责办理市委管理干部的考察、任免、工资、待遇、出国（境）、退（离）休审批手续的办理和日常管理工作；协同机构编制部门拟定副科级以上单位领导职数设置方案；承办市委委托管理干部的调配、交流及安置；负责援疆（藏）干部工作；负责规划、部署、组织实施年轻干部、妇女干部、少数民族干部、党外干部的培养、选拔、任用工作；负责科级领导班子和领导干部年度考核工作；指导镇场街道和市直科局级单位领导班子政治建设；协助管理中央、省属驻沅单位领导班子和领导干部，对领导班子建设和领导干部选拔任用提出意见和建议；负责省、益阳市和沅江市人大代表和政协委员推荐提名工作；负责全市法官和检察官单独职务序列等级晋升有关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三）执行公务员管理政策和法律法规。负责公务员职务与职级并行制度的组织实施；负责公务员和参照公务员法管理单位参公人员的考试录用、考核、奖惩、工资管理、能力建设等工作；指导实施公务员调任、转任、挂职政策；执行公务员职位分类标准和管理办法；执行有关人员调配政策和特殊人员安置政策；组织实施政府奖励，综合管理全市行政奖励表彰工作；承办以市人民政府名义任免工作人员的有关工作；负责公务员信息统计管理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四）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（五）负责全市干部教育培训的宏观管理，制订干部教育工作规划，组织、协调全市副科级以上干部和部分中青年干部的培训。</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（六）负责全市干部信息、人事档案、党内统计、干部统计工作的宏观指导；负责全市组织系统信息网络建设。</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（七）负责全市人才工作和人才队伍建设的宏观管理和指导；研究拟订人才工作有关政策并组织实施；协调落实专项重点人才工作；协调实施高层次人才培养工程；按政策落实重点人才的相关待遇。</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八）负责研究和指导党组织建设工作。制定加强党的工作制度、党内生活制度的规定和意见；对各领域党的基层组织建设进行分类指导，对各级基层党组织设立进行指导审核，指导各级党委健全党代表大会制度，负责党代表大会代表选举、管理和联络服务。</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九）研究指导党员队伍建设工作。主管党员发展和管理工作，指导、协调党员教育培训；指导镇场街道党委和市直机关事业单位党员领导干部民主生活会；负责全市党费收缴、管理和使用工作；指导开展党内表彰奖励、关怀帮扶等工作；负责全市党组织和党员队伍信息化建设及党内统计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（十）负责全市非公经济组织和社会组织党的建设工作。指导建立工会、共青团、妇联等群众组织，并支持按照各自章程开展活动。</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（十一）承担市委党建工作领导小组日常工作，综合协调有关部门统筹推进基层党建工作，健全和落实基层党建工作责任制，负责基层党建述职评议；协调有关部门指导发展壮大村级（社区）集体经济。</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二）负责市直机关党的建设工作。提出加强和改进党的建设的意见和建议，研究制定工作规划，并抓好组织实施；指导并负责检查考核市直机关各分工委党的政治建设、思想建设、组织建设、作风建设和纪律建设等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（十三）统筹协调全市绩效评估管理工作。拟订绩效评估方案并组织实施，综合掌握工作动态。</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（十四）负责组织工作的综合协调、督促检查和调查研究。指导镇场街道和市直各单位组织人事部门开展工作，及时向上级组织部门报告工作；负责全市党员、干部的来信来访工作。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（十五）负责管理全市机构编制。</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六）贯彻执行上级组织关于离退休干部工作的方针、政策、法规和决策部署；负责全市离退休干部工作的宏观管理和指导，开展调查研究，针对离退休干部工作中的新情况、新问题，及时提出建设性意见，为市委、市政府制定有关离退休干部工作的政策、规定提供情况和依据，并组织督促检查；指导全市离退休干部政治建设、思想建设、组织建设和离退休干部工委体系建设，组织指导离退休干部开展学习教育活动，发挥作用；指导全市离退休干部服务管理工作，督促落实离休干部政治、生活待遇；负责离退休干部工作的宣传，开展尊老、敬老、爱老活动，依法维护离退休干部的合法权益；指导全市离退休干部工作部门自身建设，按规定开展离退休干部工作先进集体和先进个人评选表彰活动；按照有关规定，做好来沅离退休干部的接待服务工作；承担市委老干部工作领导小组办公室的日常工作；承担市委离退休干部工作委员会的日常管理工作；承担市关心下一代工作委员会的日常工作；负责对所属单位的国有资产和财务管理进行指导和监督，充分发挥各种场地和设施的作用，发展离退休干部事业。</w:t>
      </w:r>
    </w:p>
    <w:p>
      <w:pPr>
        <w:rPr>
          <w:rFonts w:ascii="楷体" w:hAnsi="楷体" w:eastAsia="楷体" w:cs="楷体"/>
          <w:sz w:val="32"/>
        </w:rPr>
      </w:pPr>
      <w:r>
        <w:rPr>
          <w:rFonts w:hint="eastAsia" w:ascii="仿宋" w:hAnsi="仿宋" w:eastAsia="仿宋"/>
          <w:sz w:val="32"/>
          <w:lang w:val="en-US"/>
        </w:rPr>
        <w:t>（十七）完成市委和益阳市委组织部交办的其他工作。</w:t>
      </w:r>
    </w:p>
    <w:p>
      <w:pPr>
        <w:rPr>
          <w:rFonts w:ascii="楷体" w:hAnsi="楷体" w:eastAsia="楷体" w:cs="楷体"/>
          <w:sz w:val="32"/>
        </w:rPr>
      </w:pPr>
      <w:r>
        <w:rPr>
          <w:rFonts w:ascii="楷体" w:hAnsi="楷体" w:eastAsia="楷体" w:cs="楷体"/>
          <w:sz w:val="32"/>
        </w:rPr>
        <w:t>二、机构设置</w:t>
      </w:r>
    </w:p>
    <w:p>
      <w:pPr>
        <w:spacing w:line="520" w:lineRule="exact"/>
        <w:ind w:firstLine="640"/>
        <w:rPr>
          <w:rFonts w:hint="eastAsia" w:ascii="仿宋" w:hAnsi="仿宋" w:eastAsia="仿宋"/>
          <w:sz w:val="32"/>
          <w:lang w:val="en-US"/>
        </w:rPr>
      </w:pPr>
      <w:r>
        <w:rPr>
          <w:rFonts w:hint="eastAsia" w:ascii="仿宋" w:hAnsi="仿宋" w:eastAsia="仿宋"/>
          <w:sz w:val="32"/>
          <w:lang w:val="en-US" w:eastAsia="zh-CN"/>
        </w:rPr>
        <w:t>1</w:t>
      </w:r>
      <w:r>
        <w:rPr>
          <w:rFonts w:hint="eastAsia" w:ascii="仿宋" w:hAnsi="仿宋" w:eastAsia="仿宋"/>
          <w:sz w:val="32"/>
          <w:lang w:val="en-US"/>
        </w:rPr>
        <w:t>．机构情况，2019年本单位由</w:t>
      </w:r>
      <w:r>
        <w:rPr>
          <w:rFonts w:hint="eastAsia" w:ascii="仿宋" w:hAnsi="仿宋" w:eastAsia="仿宋"/>
          <w:sz w:val="32"/>
          <w:lang w:val="en-US" w:eastAsia="zh-CN"/>
        </w:rPr>
        <w:t>市委组织部机关、市委老干部局和市公务员局</w:t>
      </w:r>
      <w:r>
        <w:rPr>
          <w:rFonts w:hint="eastAsia" w:ascii="仿宋" w:hAnsi="仿宋" w:eastAsia="仿宋"/>
          <w:sz w:val="32"/>
          <w:lang w:val="en-US"/>
        </w:rPr>
        <w:t>组成。</w:t>
      </w:r>
    </w:p>
    <w:p>
      <w:pPr>
        <w:spacing w:line="520" w:lineRule="exact"/>
        <w:ind w:firstLine="640"/>
        <w:rPr>
          <w:rFonts w:hint="eastAsia" w:ascii="仿宋" w:hAnsi="仿宋" w:eastAsia="仿宋"/>
          <w:sz w:val="32"/>
          <w:lang w:val="en-US"/>
        </w:rPr>
      </w:pPr>
      <w:r>
        <w:rPr>
          <w:rFonts w:hint="eastAsia" w:ascii="仿宋" w:hAnsi="仿宋" w:eastAsia="仿宋"/>
          <w:sz w:val="32"/>
          <w:lang w:val="en-US" w:eastAsia="zh-CN"/>
        </w:rPr>
        <w:t>2</w:t>
      </w:r>
      <w:r>
        <w:rPr>
          <w:rFonts w:hint="eastAsia" w:ascii="仿宋" w:hAnsi="仿宋" w:eastAsia="仿宋"/>
          <w:sz w:val="32"/>
          <w:lang w:val="en-US"/>
        </w:rPr>
        <w:t>．人员情况。2019年本单位年未实有人数</w:t>
      </w:r>
      <w:r>
        <w:rPr>
          <w:rFonts w:hint="eastAsia" w:ascii="仿宋" w:hAnsi="仿宋" w:eastAsia="仿宋"/>
          <w:sz w:val="28"/>
          <w:lang w:val="en-US"/>
        </w:rPr>
        <w:t>36</w:t>
      </w:r>
      <w:r>
        <w:rPr>
          <w:rFonts w:hint="eastAsia" w:ascii="仿宋" w:hAnsi="仿宋" w:eastAsia="仿宋"/>
          <w:sz w:val="32"/>
          <w:lang w:val="en-US"/>
        </w:rPr>
        <w:t>人，比上年</w:t>
      </w:r>
      <w:r>
        <w:rPr>
          <w:rFonts w:hint="eastAsia" w:ascii="仿宋" w:hAnsi="仿宋" w:eastAsia="仿宋"/>
          <w:sz w:val="32"/>
          <w:lang w:val="zh-CN"/>
        </w:rPr>
        <w:t>变动了（增加或减少）</w:t>
      </w:r>
      <w:r>
        <w:rPr>
          <w:rFonts w:hint="eastAsia" w:ascii="仿宋" w:hAnsi="仿宋" w:eastAsia="仿宋"/>
          <w:sz w:val="32"/>
          <w:lang w:val="en-US" w:eastAsia="zh-CN"/>
        </w:rPr>
        <w:t>10</w:t>
      </w:r>
      <w:r>
        <w:rPr>
          <w:rFonts w:hint="eastAsia" w:ascii="仿宋" w:hAnsi="仿宋" w:eastAsia="仿宋"/>
          <w:sz w:val="32"/>
          <w:lang w:val="en-US"/>
        </w:rPr>
        <w:t>人。人员变化的主要原因是：一是</w:t>
      </w:r>
      <w:r>
        <w:rPr>
          <w:rFonts w:hint="eastAsia" w:ascii="仿宋" w:hAnsi="仿宋" w:eastAsia="仿宋"/>
          <w:sz w:val="32"/>
          <w:lang w:val="en-US" w:eastAsia="zh-CN"/>
        </w:rPr>
        <w:t>部机关人员正常流转，调出3人，调入6人</w:t>
      </w:r>
      <w:r>
        <w:rPr>
          <w:rFonts w:hint="eastAsia" w:ascii="仿宋" w:hAnsi="仿宋" w:eastAsia="仿宋"/>
          <w:sz w:val="32"/>
          <w:lang w:val="en-US"/>
        </w:rPr>
        <w:t>;二是</w:t>
      </w:r>
      <w:r>
        <w:rPr>
          <w:rFonts w:hint="eastAsia" w:ascii="仿宋" w:hAnsi="仿宋" w:eastAsia="仿宋"/>
          <w:sz w:val="32"/>
          <w:lang w:val="en-US" w:eastAsia="zh-CN"/>
        </w:rPr>
        <w:t>机构改革人员转隶7人</w:t>
      </w:r>
      <w:r>
        <w:rPr>
          <w:rFonts w:hint="eastAsia" w:ascii="仿宋" w:hAnsi="仿宋" w:eastAsia="仿宋"/>
          <w:sz w:val="32"/>
          <w:lang w:val="en-US"/>
        </w:rPr>
        <w:t>。</w:t>
      </w:r>
    </w:p>
    <w:p>
      <w:pPr>
        <w:rPr>
          <w:rFonts w:ascii="楷体" w:hAnsi="楷体" w:eastAsia="楷体" w:cs="楷体"/>
          <w:sz w:val="32"/>
        </w:rPr>
      </w:pPr>
    </w:p>
    <w:p>
      <w:pPr>
        <w:numPr>
          <w:ilvl w:val="0"/>
          <w:numId w:val="2"/>
        </w:numPr>
        <w:rPr>
          <w:rFonts w:ascii="楷体" w:hAnsi="楷体" w:eastAsia="楷体" w:cs="楷体"/>
          <w:sz w:val="32"/>
        </w:rPr>
      </w:pPr>
      <w:r>
        <w:rPr>
          <w:rFonts w:ascii="楷体" w:hAnsi="楷体" w:eastAsia="楷体" w:cs="楷体"/>
          <w:sz w:val="32"/>
        </w:rPr>
        <w:t xml:space="preserve">部门决算单位构成 </w:t>
      </w:r>
    </w:p>
    <w:p>
      <w:pPr>
        <w:ind w:firstLine="640"/>
        <w:rPr>
          <w:rFonts w:hint="eastAsia" w:ascii="仿宋" w:hAnsi="仿宋" w:eastAsia="仿宋" w:cs="仿宋"/>
          <w:sz w:val="32"/>
          <w:lang w:eastAsia="zh-CN"/>
        </w:rPr>
      </w:pPr>
      <w:r>
        <w:rPr>
          <w:rFonts w:hint="eastAsia" w:ascii="楷体" w:hAnsi="楷体" w:eastAsia="楷体" w:cs="楷体"/>
          <w:sz w:val="32"/>
          <w:lang w:val="en-US" w:eastAsia="zh-CN"/>
        </w:rPr>
        <w:t xml:space="preserve"> </w:t>
      </w:r>
      <w:r>
        <w:rPr>
          <w:rFonts w:ascii="仿宋" w:hAnsi="仿宋" w:eastAsia="仿宋" w:cs="仿宋"/>
          <w:sz w:val="32"/>
        </w:rPr>
        <w:t>从决算单位构成看，</w:t>
      </w:r>
      <w:r>
        <w:rPr>
          <w:rFonts w:hint="eastAsia" w:ascii="仿宋" w:hAnsi="仿宋" w:eastAsia="仿宋" w:cs="仿宋"/>
          <w:sz w:val="32"/>
          <w:lang w:eastAsia="zh-CN"/>
        </w:rPr>
        <w:t>中共沅江市委组织部</w:t>
      </w:r>
      <w:r>
        <w:rPr>
          <w:rFonts w:ascii="仿宋" w:hAnsi="仿宋" w:eastAsia="仿宋" w:cs="仿宋"/>
          <w:sz w:val="32"/>
        </w:rPr>
        <w:t>单位部门决算包括：</w:t>
      </w:r>
      <w:r>
        <w:rPr>
          <w:rFonts w:hint="eastAsia" w:ascii="仿宋" w:hAnsi="仿宋" w:eastAsia="仿宋" w:cs="仿宋"/>
          <w:sz w:val="32"/>
          <w:lang w:eastAsia="zh-CN"/>
        </w:rPr>
        <w:t>市委组织部</w:t>
      </w:r>
      <w:r>
        <w:rPr>
          <w:rFonts w:ascii="仿宋" w:hAnsi="仿宋" w:eastAsia="仿宋" w:cs="仿宋"/>
          <w:sz w:val="32"/>
        </w:rPr>
        <w:t>单位部门决算</w:t>
      </w:r>
      <w:r>
        <w:rPr>
          <w:rFonts w:hint="eastAsia" w:ascii="仿宋" w:hAnsi="仿宋" w:eastAsia="仿宋" w:cs="仿宋"/>
          <w:sz w:val="32"/>
          <w:lang w:eastAsia="zh-CN"/>
        </w:rPr>
        <w:t>本级。</w:t>
      </w:r>
    </w:p>
    <w:p>
      <w:pPr>
        <w:numPr>
          <w:ilvl w:val="0"/>
          <w:numId w:val="0"/>
        </w:numPr>
        <w:rPr>
          <w:rFonts w:hint="eastAsia" w:ascii="楷体" w:hAnsi="楷体" w:eastAsia="楷体" w:cs="楷体"/>
          <w:sz w:val="32"/>
          <w:lang w:val="en-US" w:eastAsia="zh-CN"/>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numPr>
          <w:ilvl w:val="0"/>
          <w:numId w:val="3"/>
        </w:numPr>
        <w:rPr>
          <w:rFonts w:hint="eastAsia" w:ascii="黑体" w:hAnsi="黑体" w:eastAsia="黑体" w:cs="黑体"/>
          <w:sz w:val="32"/>
          <w:lang w:eastAsia="zh-CN"/>
        </w:rPr>
      </w:pPr>
      <w:r>
        <w:rPr>
          <w:rFonts w:hint="eastAsia" w:ascii="黑体" w:hAnsi="黑体" w:eastAsia="黑体" w:cs="黑体"/>
          <w:sz w:val="32"/>
          <w:lang w:eastAsia="zh-CN"/>
        </w:rPr>
        <w:t>中共沅江市委组织部</w:t>
      </w:r>
      <w:r>
        <w:rPr>
          <w:rFonts w:ascii="黑体" w:hAnsi="黑体" w:eastAsia="黑体" w:cs="黑体"/>
          <w:sz w:val="32"/>
        </w:rPr>
        <w:t>单位201</w:t>
      </w:r>
      <w:r>
        <w:rPr>
          <w:rFonts w:hint="eastAsia" w:ascii="黑体" w:hAnsi="黑体" w:eastAsia="黑体" w:cs="黑体"/>
          <w:sz w:val="32"/>
          <w:lang w:val="en-US" w:eastAsia="zh-CN"/>
        </w:rPr>
        <w:t>9</w:t>
      </w:r>
      <w:r>
        <w:rPr>
          <w:rFonts w:ascii="黑体" w:hAnsi="黑体" w:eastAsia="黑体" w:cs="黑体"/>
          <w:sz w:val="32"/>
        </w:rPr>
        <w:t>年度部门决算表</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drawing>
          <wp:inline distT="0" distB="0" distL="114300" distR="114300">
            <wp:extent cx="5230495" cy="3281045"/>
            <wp:effectExtent l="0" t="0" r="8255" b="146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5230495" cy="3281045"/>
                    </a:xfrm>
                    <a:prstGeom prst="rect">
                      <a:avLst/>
                    </a:prstGeom>
                    <a:noFill/>
                    <a:ln>
                      <a:noFill/>
                    </a:ln>
                  </pic:spPr>
                </pic:pic>
              </a:graphicData>
            </a:graphic>
          </wp:inline>
        </w:drawing>
      </w:r>
    </w:p>
    <w:p>
      <w:pPr>
        <w:numPr>
          <w:ilvl w:val="0"/>
          <w:numId w:val="4"/>
        </w:numPr>
        <w:rPr>
          <w:rFonts w:ascii="楷体" w:hAnsi="楷体" w:eastAsia="楷体" w:cs="楷体"/>
          <w:sz w:val="32"/>
        </w:rPr>
      </w:pPr>
      <w:r>
        <w:rPr>
          <w:rFonts w:ascii="楷体" w:hAnsi="楷体" w:eastAsia="楷体" w:cs="楷体"/>
          <w:sz w:val="32"/>
        </w:rPr>
        <w:t xml:space="preserve">收入决算表 </w:t>
      </w:r>
    </w:p>
    <w:p>
      <w:pPr>
        <w:numPr>
          <w:ilvl w:val="0"/>
          <w:numId w:val="0"/>
        </w:numPr>
      </w:pPr>
      <w:r>
        <w:drawing>
          <wp:inline distT="0" distB="0" distL="114300" distR="114300">
            <wp:extent cx="5234940" cy="2954020"/>
            <wp:effectExtent l="0" t="0" r="38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34940" cy="2954020"/>
                    </a:xfrm>
                    <a:prstGeom prst="rect">
                      <a:avLst/>
                    </a:prstGeom>
                    <a:noFill/>
                    <a:ln>
                      <a:noFill/>
                    </a:ln>
                  </pic:spPr>
                </pic:pic>
              </a:graphicData>
            </a:graphic>
          </wp:inline>
        </w:drawing>
      </w: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支出决算表 </w:t>
      </w:r>
    </w:p>
    <w:p>
      <w:pPr>
        <w:numPr>
          <w:ilvl w:val="0"/>
          <w:numId w:val="0"/>
        </w:numPr>
        <w:ind w:leftChars="0"/>
        <w:rPr>
          <w:rFonts w:ascii="楷体" w:hAnsi="楷体" w:eastAsia="楷体" w:cs="楷体"/>
          <w:sz w:val="32"/>
        </w:rPr>
      </w:pPr>
    </w:p>
    <w:p>
      <w:pPr>
        <w:numPr>
          <w:ilvl w:val="0"/>
          <w:numId w:val="0"/>
        </w:numPr>
        <w:ind w:leftChars="0"/>
        <w:rPr>
          <w:rFonts w:ascii="楷体" w:hAnsi="楷体" w:eastAsia="楷体" w:cs="楷体"/>
          <w:sz w:val="32"/>
        </w:rPr>
      </w:pPr>
      <w:r>
        <w:drawing>
          <wp:inline distT="0" distB="0" distL="114300" distR="114300">
            <wp:extent cx="5237480" cy="3093085"/>
            <wp:effectExtent l="0" t="0" r="127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37480" cy="3093085"/>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财政拨款收入支出决算总表 </w:t>
      </w:r>
    </w:p>
    <w:p>
      <w:pPr>
        <w:numPr>
          <w:ilvl w:val="0"/>
          <w:numId w:val="0"/>
        </w:numPr>
        <w:ind w:leftChars="0"/>
      </w:pPr>
      <w:r>
        <w:drawing>
          <wp:inline distT="0" distB="0" distL="114300" distR="114300">
            <wp:extent cx="5230495" cy="2986405"/>
            <wp:effectExtent l="0" t="0" r="825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30495" cy="2986405"/>
                    </a:xfrm>
                    <a:prstGeom prst="rect">
                      <a:avLst/>
                    </a:prstGeom>
                    <a:noFill/>
                    <a:ln>
                      <a:noFill/>
                    </a:ln>
                  </pic:spPr>
                </pic:pic>
              </a:graphicData>
            </a:graphic>
          </wp:inline>
        </w:drawing>
      </w:r>
    </w:p>
    <w:p>
      <w:pPr>
        <w:numPr>
          <w:ilvl w:val="0"/>
          <w:numId w:val="0"/>
        </w:numPr>
        <w:ind w:leftChars="0"/>
      </w:pPr>
    </w:p>
    <w:p>
      <w:pPr>
        <w:numPr>
          <w:ilvl w:val="0"/>
          <w:numId w:val="0"/>
        </w:numPr>
        <w:ind w:leftChars="0"/>
      </w:pPr>
    </w:p>
    <w:p>
      <w:pPr>
        <w:numPr>
          <w:ilvl w:val="0"/>
          <w:numId w:val="0"/>
        </w:numPr>
        <w:ind w:leftChars="0"/>
      </w:pPr>
    </w:p>
    <w:p>
      <w:pPr>
        <w:numPr>
          <w:ilvl w:val="0"/>
          <w:numId w:val="0"/>
        </w:numPr>
        <w:ind w:leftChars="0"/>
      </w:pPr>
    </w:p>
    <w:p>
      <w:pPr>
        <w:numPr>
          <w:ilvl w:val="0"/>
          <w:numId w:val="0"/>
        </w:numPr>
        <w:ind w:leftChars="0"/>
      </w:pP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一般公共预算财政拨款支出决算表 </w:t>
      </w:r>
    </w:p>
    <w:p>
      <w:pPr>
        <w:numPr>
          <w:ilvl w:val="0"/>
          <w:numId w:val="0"/>
        </w:numPr>
        <w:ind w:leftChars="0"/>
        <w:rPr>
          <w:rFonts w:ascii="楷体" w:hAnsi="楷体" w:eastAsia="楷体" w:cs="楷体"/>
          <w:sz w:val="32"/>
        </w:rPr>
      </w:pPr>
      <w:r>
        <w:drawing>
          <wp:inline distT="0" distB="0" distL="114300" distR="114300">
            <wp:extent cx="5233670" cy="3074670"/>
            <wp:effectExtent l="0" t="0" r="508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33670" cy="3074670"/>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一般公共预算财政拨款基本支出决算表 </w:t>
      </w:r>
    </w:p>
    <w:p>
      <w:pPr>
        <w:numPr>
          <w:ilvl w:val="0"/>
          <w:numId w:val="0"/>
        </w:numPr>
        <w:ind w:leftChars="0"/>
        <w:rPr>
          <w:rFonts w:ascii="楷体" w:hAnsi="楷体" w:eastAsia="楷体" w:cs="楷体"/>
          <w:sz w:val="32"/>
        </w:rPr>
      </w:pPr>
      <w:r>
        <w:drawing>
          <wp:inline distT="0" distB="0" distL="114300" distR="114300">
            <wp:extent cx="5231130" cy="4538980"/>
            <wp:effectExtent l="0" t="0" r="7620"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31130" cy="4538980"/>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一般公共预算财政拨款“三公”经费支出决算表 </w:t>
      </w:r>
    </w:p>
    <w:p>
      <w:pPr>
        <w:numPr>
          <w:ilvl w:val="0"/>
          <w:numId w:val="0"/>
        </w:numPr>
        <w:ind w:leftChars="0"/>
        <w:rPr>
          <w:rFonts w:ascii="楷体" w:hAnsi="楷体" w:eastAsia="楷体" w:cs="楷体"/>
          <w:sz w:val="32"/>
        </w:rPr>
      </w:pPr>
      <w:r>
        <w:drawing>
          <wp:inline distT="0" distB="0" distL="114300" distR="114300">
            <wp:extent cx="5236210" cy="4352290"/>
            <wp:effectExtent l="0" t="0" r="254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36210" cy="4352290"/>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政府性基金预算财政拨款收入支出决算表 </w:t>
      </w:r>
    </w:p>
    <w:p>
      <w:pPr>
        <w:numPr>
          <w:ilvl w:val="0"/>
          <w:numId w:val="0"/>
        </w:numPr>
        <w:ind w:leftChars="0"/>
        <w:rPr>
          <w:rFonts w:ascii="楷体" w:hAnsi="楷体" w:eastAsia="楷体" w:cs="楷体"/>
          <w:sz w:val="32"/>
        </w:rPr>
      </w:pPr>
      <w:r>
        <w:drawing>
          <wp:inline distT="0" distB="0" distL="114300" distR="114300">
            <wp:extent cx="5232400" cy="1658620"/>
            <wp:effectExtent l="0" t="0" r="6350"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32400" cy="1658620"/>
                    </a:xfrm>
                    <a:prstGeom prst="rect">
                      <a:avLst/>
                    </a:prstGeom>
                    <a:noFill/>
                    <a:ln>
                      <a:noFill/>
                    </a:ln>
                  </pic:spPr>
                </pic:pic>
              </a:graphicData>
            </a:graphic>
          </wp:inline>
        </w:drawing>
      </w: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中共沅江市委组织部</w:t>
      </w:r>
      <w:r>
        <w:rPr>
          <w:rFonts w:ascii="黑体" w:hAnsi="黑体" w:eastAsia="黑体" w:cs="黑体"/>
          <w:sz w:val="32"/>
        </w:rPr>
        <w:t>单位201</w:t>
      </w:r>
      <w:r>
        <w:rPr>
          <w:rFonts w:hint="eastAsia" w:ascii="黑体" w:hAnsi="黑体" w:eastAsia="黑体" w:cs="黑体"/>
          <w:sz w:val="32"/>
          <w:lang w:val="en-US" w:eastAsia="zh-CN"/>
        </w:rPr>
        <w:t>9</w:t>
      </w:r>
      <w:r>
        <w:rPr>
          <w:rFonts w:ascii="黑体" w:hAnsi="黑体" w:eastAsia="黑体" w:cs="黑体"/>
          <w:sz w:val="32"/>
        </w:rPr>
        <w:t>年度部门决算情况说明</w:t>
      </w:r>
    </w:p>
    <w:p>
      <w:pPr>
        <w:jc w:val="left"/>
        <w:rPr>
          <w:rFonts w:hint="eastAsia" w:ascii="楷体" w:hAnsi="楷体" w:eastAsia="楷体" w:cs="楷体"/>
          <w:sz w:val="32"/>
        </w:rPr>
      </w:pPr>
      <w:r>
        <w:rPr>
          <w:rFonts w:hint="eastAsia" w:ascii="楷体" w:hAnsi="楷体" w:eastAsia="楷体" w:cs="楷体"/>
          <w:sz w:val="32"/>
        </w:rPr>
        <w:t>一、收入支出决算总体情况说明</w:t>
      </w:r>
    </w:p>
    <w:p>
      <w:pPr>
        <w:pStyle w:val="4"/>
        <w:keepNext w:val="0"/>
        <w:keepLines w:val="0"/>
        <w:widowControl/>
        <w:suppressLineNumbers w:val="0"/>
        <w:spacing w:before="300" w:beforeAutospacing="0" w:after="0" w:afterAutospacing="0" w:line="600" w:lineRule="atLeast"/>
        <w:ind w:left="0" w:right="0" w:firstLine="640"/>
        <w:jc w:val="both"/>
        <w:rPr>
          <w:rFonts w:hint="eastAsia" w:ascii="Calibri" w:hAnsi="Calibri" w:eastAsia="仿宋" w:cs="Calibri"/>
          <w:color w:val="000000" w:themeColor="text1"/>
          <w:sz w:val="21"/>
          <w:szCs w:val="21"/>
          <w:highlight w:val="none"/>
          <w:lang w:eastAsia="zh-CN"/>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2019年度收、支总计</w:t>
      </w:r>
      <w:r>
        <w:rPr>
          <w:rFonts w:hint="eastAsia" w:ascii="仿宋" w:hAnsi="仿宋" w:eastAsia="仿宋" w:cs="仿宋"/>
          <w:color w:val="000000" w:themeColor="text1"/>
          <w:sz w:val="32"/>
          <w:szCs w:val="32"/>
          <w:highlight w:val="none"/>
          <w:lang w:val="en-US" w:eastAsia="zh-CN"/>
          <w14:textFill>
            <w14:solidFill>
              <w14:schemeClr w14:val="tx1"/>
            </w14:solidFill>
          </w14:textFill>
        </w:rPr>
        <w:t>1252.13</w:t>
      </w:r>
      <w:r>
        <w:rPr>
          <w:rFonts w:ascii="仿宋" w:hAnsi="仿宋" w:eastAsia="仿宋" w:cs="仿宋"/>
          <w:color w:val="000000" w:themeColor="text1"/>
          <w:sz w:val="32"/>
          <w:szCs w:val="32"/>
          <w:highlight w:val="none"/>
          <w14:textFill>
            <w14:solidFill>
              <w14:schemeClr w14:val="tx1"/>
            </w14:solidFill>
          </w14:textFill>
        </w:rPr>
        <w:t>万元，与2018年</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1413.68万元）</w:t>
      </w:r>
      <w:r>
        <w:rPr>
          <w:rFonts w:ascii="仿宋" w:hAnsi="仿宋" w:eastAsia="仿宋" w:cs="仿宋"/>
          <w:color w:val="000000" w:themeColor="text1"/>
          <w:sz w:val="32"/>
          <w:szCs w:val="32"/>
          <w:highlight w:val="none"/>
          <w14:textFill>
            <w14:solidFill>
              <w14:schemeClr w14:val="tx1"/>
            </w14:solidFill>
          </w14:textFill>
        </w:rPr>
        <w:t>相比，收、支总计</w:t>
      </w:r>
      <w:r>
        <w:rPr>
          <w:rFonts w:hint="eastAsia" w:ascii="仿宋" w:hAnsi="仿宋" w:eastAsia="仿宋" w:cs="仿宋"/>
          <w:color w:val="000000" w:themeColor="text1"/>
          <w:sz w:val="32"/>
          <w:szCs w:val="32"/>
          <w:highlight w:val="none"/>
          <w:lang w:eastAsia="zh-CN"/>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161.55</w:t>
      </w:r>
      <w:r>
        <w:rPr>
          <w:rFonts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11.43</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，减少原因在于单位厉行节约，开源节流，控制支出。</w:t>
      </w:r>
    </w:p>
    <w:p>
      <w:pPr>
        <w:jc w:val="left"/>
        <w:rPr>
          <w:rFonts w:hint="eastAsia" w:ascii="楷体" w:hAnsi="楷体" w:eastAsia="楷体" w:cs="楷体"/>
          <w:color w:val="000000" w:themeColor="text1"/>
          <w:sz w:val="32"/>
          <w:highlight w:val="none"/>
          <w14:textFill>
            <w14:solidFill>
              <w14:schemeClr w14:val="tx1"/>
            </w14:solidFill>
          </w14:textFill>
        </w:rPr>
      </w:pPr>
    </w:p>
    <w:p>
      <w:pPr>
        <w:jc w:val="left"/>
        <w:rPr>
          <w:rFonts w:ascii="Calibri" w:hAnsi="Calibri" w:cs="Calibri"/>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32"/>
          <w:highlight w:val="none"/>
          <w:lang w:eastAsia="zh-CN"/>
          <w14:textFill>
            <w14:solidFill>
              <w14:schemeClr w14:val="tx1"/>
            </w14:solidFill>
          </w14:textFill>
        </w:rPr>
        <w:t>二、</w:t>
      </w:r>
      <w:r>
        <w:rPr>
          <w:rFonts w:hint="eastAsia" w:ascii="楷体" w:hAnsi="楷体" w:eastAsia="楷体" w:cs="楷体"/>
          <w:color w:val="000000" w:themeColor="text1"/>
          <w:sz w:val="32"/>
          <w:highlight w:val="none"/>
          <w14:textFill>
            <w14:solidFill>
              <w14:schemeClr w14:val="tx1"/>
            </w14:solidFill>
          </w14:textFill>
        </w:rPr>
        <w:t>收入决算情况说明</w:t>
      </w:r>
    </w:p>
    <w:p>
      <w:pPr>
        <w:numPr>
          <w:ilvl w:val="0"/>
          <w:numId w:val="0"/>
        </w:numPr>
        <w:ind w:firstLine="640" w:firstLineChars="200"/>
        <w:jc w:val="left"/>
        <w:rPr>
          <w:rFonts w:ascii="Calibri" w:hAnsi="Calibri" w:cs="Calibri"/>
          <w:color w:val="000000" w:themeColor="text1"/>
          <w:sz w:val="21"/>
          <w:szCs w:val="21"/>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2019年收入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666.76</w:t>
      </w:r>
      <w:r>
        <w:rPr>
          <w:rFonts w:ascii="仿宋" w:hAnsi="仿宋" w:eastAsia="仿宋" w:cs="仿宋"/>
          <w:color w:val="000000" w:themeColor="text1"/>
          <w:sz w:val="32"/>
          <w:szCs w:val="32"/>
          <w:highlight w:val="none"/>
          <w14:textFill>
            <w14:solidFill>
              <w14:schemeClr w14:val="tx1"/>
            </w14:solidFill>
          </w14:textFill>
        </w:rPr>
        <w:t>万元，其中：一般公共预算拨款收入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666.09</w:t>
      </w:r>
      <w:r>
        <w:rPr>
          <w:rFonts w:ascii="仿宋" w:hAnsi="仿宋" w:eastAsia="仿宋" w:cs="仿宋"/>
          <w:color w:val="000000" w:themeColor="text1"/>
          <w:sz w:val="32"/>
          <w:szCs w:val="32"/>
          <w:highlight w:val="none"/>
          <w14:textFill>
            <w14:solidFill>
              <w14:schemeClr w14:val="tx1"/>
            </w14:solidFill>
          </w14:textFill>
        </w:rPr>
        <w:t>万元，比上年</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738.86万元）</w:t>
      </w:r>
      <w:r>
        <w:rPr>
          <w:rFonts w:ascii="仿宋" w:hAnsi="仿宋" w:eastAsia="仿宋" w:cs="仿宋"/>
          <w:color w:val="000000" w:themeColor="text1"/>
          <w:sz w:val="32"/>
          <w:szCs w:val="32"/>
          <w:highlight w:val="none"/>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72.77万元，减少9.8</w:t>
      </w:r>
      <w:r>
        <w:rPr>
          <w:rFonts w:ascii="仿宋" w:hAnsi="仿宋" w:eastAsia="仿宋" w:cs="仿宋"/>
          <w:color w:val="000000" w:themeColor="text1"/>
          <w:sz w:val="32"/>
          <w:szCs w:val="32"/>
          <w:highlight w:val="none"/>
          <w14:textFill>
            <w14:solidFill>
              <w14:schemeClr w14:val="tx1"/>
            </w14:solidFill>
          </w14:textFill>
        </w:rPr>
        <w:t>%。占本年总收入99.</w:t>
      </w:r>
      <w:r>
        <w:rPr>
          <w:rFonts w:hint="eastAsia" w:ascii="仿宋" w:hAnsi="仿宋" w:eastAsia="仿宋" w:cs="仿宋"/>
          <w:color w:val="000000" w:themeColor="text1"/>
          <w:sz w:val="32"/>
          <w:szCs w:val="32"/>
          <w:highlight w:val="none"/>
          <w:lang w:val="en-US" w:eastAsia="zh-CN"/>
          <w14:textFill>
            <w14:solidFill>
              <w14:schemeClr w14:val="tx1"/>
            </w14:solidFill>
          </w14:textFill>
        </w:rPr>
        <w:t>99</w:t>
      </w:r>
      <w:r>
        <w:rPr>
          <w:rFonts w:ascii="仿宋" w:hAnsi="仿宋" w:eastAsia="仿宋" w:cs="仿宋"/>
          <w:color w:val="000000" w:themeColor="text1"/>
          <w:sz w:val="32"/>
          <w:szCs w:val="32"/>
          <w:highlight w:val="none"/>
          <w14:textFill>
            <w14:solidFill>
              <w14:schemeClr w14:val="tx1"/>
            </w14:solidFill>
          </w14:textFill>
        </w:rPr>
        <w:t>%。</w:t>
      </w:r>
    </w:p>
    <w:p>
      <w:pPr>
        <w:numPr>
          <w:ilvl w:val="0"/>
          <w:numId w:val="0"/>
        </w:numPr>
        <w:jc w:val="left"/>
        <w:rPr>
          <w:rFonts w:hint="default" w:ascii="楷体" w:hAnsi="楷体" w:eastAsia="楷体" w:cs="楷体"/>
          <w:sz w:val="32"/>
          <w:lang w:val="en-US" w:eastAsia="zh-CN"/>
        </w:rPr>
      </w:pPr>
    </w:p>
    <w:p>
      <w:pPr>
        <w:numPr>
          <w:ilvl w:val="0"/>
          <w:numId w:val="0"/>
        </w:numPr>
        <w:ind w:leftChars="0"/>
        <w:jc w:val="left"/>
        <w:rPr>
          <w:rFonts w:ascii="Calibri" w:hAnsi="Calibri" w:cs="Calibri"/>
          <w:sz w:val="21"/>
          <w:szCs w:val="21"/>
        </w:rPr>
      </w:pPr>
      <w:r>
        <w:rPr>
          <w:rFonts w:hint="eastAsia" w:ascii="楷体" w:hAnsi="楷体" w:eastAsia="楷体" w:cs="楷体"/>
          <w:sz w:val="32"/>
          <w:lang w:eastAsia="zh-CN"/>
        </w:rPr>
        <w:t>三、</w:t>
      </w:r>
      <w:r>
        <w:rPr>
          <w:rFonts w:hint="eastAsia" w:ascii="楷体" w:hAnsi="楷体" w:eastAsia="楷体" w:cs="楷体"/>
          <w:sz w:val="32"/>
        </w:rPr>
        <w:t>支出决算情况说明</w:t>
      </w:r>
    </w:p>
    <w:p>
      <w:pPr>
        <w:numPr>
          <w:ilvl w:val="0"/>
          <w:numId w:val="0"/>
        </w:numPr>
        <w:ind w:leftChars="0" w:firstLine="640" w:firstLineChars="200"/>
        <w:jc w:val="left"/>
        <w:rPr>
          <w:rFonts w:ascii="Calibri" w:hAnsi="Calibri" w:cs="Calibri"/>
          <w:sz w:val="21"/>
          <w:szCs w:val="21"/>
        </w:rPr>
      </w:pPr>
      <w:r>
        <w:rPr>
          <w:rFonts w:ascii="仿宋" w:hAnsi="仿宋" w:eastAsia="仿宋" w:cs="仿宋"/>
          <w:color w:val="333333"/>
          <w:sz w:val="32"/>
          <w:szCs w:val="32"/>
        </w:rPr>
        <w:t>本年支出合计</w:t>
      </w:r>
      <w:r>
        <w:rPr>
          <w:rFonts w:hint="eastAsia" w:ascii="仿宋" w:hAnsi="仿宋" w:eastAsia="仿宋" w:cs="仿宋"/>
          <w:color w:val="333333"/>
          <w:sz w:val="32"/>
          <w:szCs w:val="32"/>
          <w:lang w:val="en-US" w:eastAsia="zh-CN"/>
        </w:rPr>
        <w:t>585.37</w:t>
      </w:r>
      <w:r>
        <w:rPr>
          <w:rFonts w:ascii="仿宋" w:hAnsi="仿宋" w:eastAsia="仿宋" w:cs="仿宋"/>
          <w:color w:val="333333"/>
          <w:sz w:val="32"/>
          <w:szCs w:val="32"/>
        </w:rPr>
        <w:t>万元，其中：基本支出</w:t>
      </w:r>
      <w:r>
        <w:rPr>
          <w:rFonts w:hint="eastAsia" w:ascii="仿宋" w:hAnsi="仿宋" w:eastAsia="仿宋" w:cs="仿宋"/>
          <w:color w:val="333333"/>
          <w:sz w:val="32"/>
          <w:szCs w:val="32"/>
          <w:lang w:val="en-US" w:eastAsia="zh-CN"/>
        </w:rPr>
        <w:t>308.66</w:t>
      </w:r>
      <w:r>
        <w:rPr>
          <w:rFonts w:ascii="仿宋" w:hAnsi="仿宋" w:eastAsia="仿宋" w:cs="仿宋"/>
          <w:color w:val="333333"/>
          <w:sz w:val="32"/>
          <w:szCs w:val="32"/>
        </w:rPr>
        <w:t>万元，占本年总支出5</w:t>
      </w:r>
      <w:r>
        <w:rPr>
          <w:rFonts w:hint="eastAsia" w:ascii="仿宋" w:hAnsi="仿宋" w:eastAsia="仿宋" w:cs="仿宋"/>
          <w:color w:val="333333"/>
          <w:sz w:val="32"/>
          <w:szCs w:val="32"/>
          <w:lang w:val="en-US" w:eastAsia="zh-CN"/>
        </w:rPr>
        <w:t>2.73</w:t>
      </w:r>
      <w:r>
        <w:rPr>
          <w:rFonts w:ascii="仿宋" w:hAnsi="仿宋" w:eastAsia="仿宋" w:cs="仿宋"/>
          <w:color w:val="333333"/>
          <w:sz w:val="32"/>
          <w:szCs w:val="32"/>
        </w:rPr>
        <w:t>%。项目支出</w:t>
      </w:r>
      <w:r>
        <w:rPr>
          <w:rFonts w:hint="eastAsia" w:ascii="仿宋" w:hAnsi="仿宋" w:eastAsia="仿宋" w:cs="仿宋"/>
          <w:color w:val="333333"/>
          <w:sz w:val="32"/>
          <w:szCs w:val="32"/>
          <w:lang w:val="en-US" w:eastAsia="zh-CN"/>
        </w:rPr>
        <w:t>276.71</w:t>
      </w:r>
      <w:r>
        <w:rPr>
          <w:rFonts w:ascii="仿宋" w:hAnsi="仿宋" w:eastAsia="仿宋" w:cs="仿宋"/>
          <w:color w:val="333333"/>
          <w:sz w:val="32"/>
          <w:szCs w:val="32"/>
        </w:rPr>
        <w:t>万元，占本年总支出</w:t>
      </w:r>
      <w:r>
        <w:rPr>
          <w:rFonts w:hint="eastAsia" w:ascii="仿宋" w:hAnsi="仿宋" w:eastAsia="仿宋" w:cs="仿宋"/>
          <w:color w:val="333333"/>
          <w:sz w:val="32"/>
          <w:szCs w:val="32"/>
          <w:lang w:val="en-US" w:eastAsia="zh-CN"/>
        </w:rPr>
        <w:t>47.27</w:t>
      </w:r>
      <w:r>
        <w:rPr>
          <w:rFonts w:ascii="仿宋" w:hAnsi="仿宋" w:eastAsia="仿宋" w:cs="仿宋"/>
          <w:color w:val="333333"/>
          <w:sz w:val="32"/>
          <w:szCs w:val="32"/>
        </w:rPr>
        <w:t>%。</w:t>
      </w:r>
    </w:p>
    <w:p>
      <w:pPr>
        <w:numPr>
          <w:ilvl w:val="0"/>
          <w:numId w:val="0"/>
        </w:numPr>
        <w:ind w:leftChars="0"/>
        <w:jc w:val="left"/>
        <w:rPr>
          <w:rFonts w:hint="eastAsia" w:ascii="楷体" w:hAnsi="楷体" w:eastAsia="楷体" w:cs="楷体"/>
          <w:sz w:val="32"/>
        </w:rPr>
      </w:pPr>
    </w:p>
    <w:p>
      <w:pPr>
        <w:numPr>
          <w:ilvl w:val="0"/>
          <w:numId w:val="0"/>
        </w:numPr>
        <w:ind w:leftChars="0"/>
        <w:jc w:val="left"/>
        <w:rPr>
          <w:rFonts w:ascii="Calibri" w:hAnsi="Calibri" w:cs="Calibri"/>
          <w:sz w:val="21"/>
          <w:szCs w:val="21"/>
        </w:rPr>
      </w:pPr>
      <w:r>
        <w:rPr>
          <w:rFonts w:hint="eastAsia" w:ascii="楷体" w:hAnsi="楷体" w:eastAsia="楷体" w:cs="楷体"/>
          <w:sz w:val="32"/>
          <w:lang w:eastAsia="zh-CN"/>
        </w:rPr>
        <w:t>四、</w:t>
      </w:r>
      <w:r>
        <w:rPr>
          <w:rFonts w:hint="eastAsia" w:ascii="楷体" w:hAnsi="楷体" w:eastAsia="楷体" w:cs="楷体"/>
          <w:sz w:val="32"/>
        </w:rPr>
        <w:t>财政拨款收入支出决算总体情况说明</w:t>
      </w:r>
    </w:p>
    <w:p>
      <w:pPr>
        <w:numPr>
          <w:ilvl w:val="0"/>
          <w:numId w:val="0"/>
        </w:numPr>
        <w:ind w:leftChars="0" w:firstLine="640" w:firstLineChars="200"/>
        <w:jc w:val="left"/>
        <w:rPr>
          <w:rFonts w:ascii="Calibri" w:hAnsi="Calibri" w:cs="Calibri"/>
          <w:sz w:val="21"/>
          <w:szCs w:val="21"/>
        </w:rPr>
      </w:pPr>
      <w:r>
        <w:rPr>
          <w:rFonts w:ascii="仿宋" w:hAnsi="仿宋" w:eastAsia="仿宋" w:cs="仿宋"/>
          <w:color w:val="333333"/>
          <w:sz w:val="32"/>
          <w:szCs w:val="32"/>
        </w:rPr>
        <w:t>2019年度财政拨款收、支总计</w:t>
      </w:r>
      <w:r>
        <w:rPr>
          <w:rFonts w:hint="eastAsia" w:ascii="仿宋" w:hAnsi="仿宋" w:eastAsia="仿宋" w:cs="仿宋"/>
          <w:color w:val="333333"/>
          <w:sz w:val="32"/>
          <w:szCs w:val="32"/>
          <w:lang w:val="en-US" w:eastAsia="zh-CN"/>
        </w:rPr>
        <w:t>1251.47</w:t>
      </w:r>
      <w:r>
        <w:rPr>
          <w:rFonts w:ascii="仿宋" w:hAnsi="仿宋" w:eastAsia="仿宋" w:cs="仿宋"/>
          <w:color w:val="333333"/>
          <w:sz w:val="32"/>
          <w:szCs w:val="32"/>
        </w:rPr>
        <w:t>万元，与2018年</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1413</w:t>
      </w:r>
      <w:r>
        <w:rPr>
          <w:rFonts w:hint="eastAsia" w:ascii="仿宋" w:hAnsi="仿宋" w:eastAsia="仿宋" w:cs="仿宋"/>
          <w:color w:val="000000" w:themeColor="text1"/>
          <w:sz w:val="32"/>
          <w:szCs w:val="32"/>
          <w:highlight w:val="none"/>
          <w:lang w:val="en-US" w:eastAsia="zh-CN"/>
          <w14:textFill>
            <w14:solidFill>
              <w14:schemeClr w14:val="tx1"/>
            </w14:solidFill>
          </w14:textFill>
        </w:rPr>
        <w:t>.69万元）</w:t>
      </w:r>
      <w:r>
        <w:rPr>
          <w:rFonts w:ascii="仿宋" w:hAnsi="仿宋" w:eastAsia="仿宋" w:cs="仿宋"/>
          <w:color w:val="000000" w:themeColor="text1"/>
          <w:sz w:val="32"/>
          <w:szCs w:val="32"/>
          <w:highlight w:val="none"/>
          <w14:textFill>
            <w14:solidFill>
              <w14:schemeClr w14:val="tx1"/>
            </w14:solidFill>
          </w14:textFill>
        </w:rPr>
        <w:t>相比，财政</w:t>
      </w:r>
      <w:r>
        <w:rPr>
          <w:rFonts w:ascii="仿宋" w:hAnsi="仿宋" w:eastAsia="仿宋" w:cs="仿宋"/>
          <w:color w:val="333333"/>
          <w:sz w:val="32"/>
          <w:szCs w:val="32"/>
        </w:rPr>
        <w:t>拨款收、支总计</w:t>
      </w:r>
      <w:r>
        <w:rPr>
          <w:rFonts w:hint="eastAsia" w:ascii="仿宋" w:hAnsi="仿宋" w:eastAsia="仿宋" w:cs="仿宋"/>
          <w:color w:val="333333"/>
          <w:sz w:val="32"/>
          <w:szCs w:val="32"/>
          <w:lang w:eastAsia="zh-CN"/>
        </w:rPr>
        <w:t>共减少</w:t>
      </w:r>
      <w:r>
        <w:rPr>
          <w:rFonts w:hint="eastAsia" w:ascii="仿宋" w:hAnsi="仿宋" w:eastAsia="仿宋" w:cs="仿宋"/>
          <w:color w:val="333333"/>
          <w:sz w:val="32"/>
          <w:szCs w:val="32"/>
          <w:lang w:val="en-US" w:eastAsia="zh-CN"/>
        </w:rPr>
        <w:t>162.22</w:t>
      </w:r>
      <w:r>
        <w:rPr>
          <w:rFonts w:ascii="仿宋" w:hAnsi="仿宋" w:eastAsia="仿宋" w:cs="仿宋"/>
          <w:color w:val="333333"/>
          <w:sz w:val="32"/>
          <w:szCs w:val="32"/>
        </w:rPr>
        <w:t>万元，</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lang w:val="en-US" w:eastAsia="zh-CN"/>
        </w:rPr>
        <w:t>11.47</w:t>
      </w:r>
      <w:r>
        <w:rPr>
          <w:rFonts w:ascii="仿宋" w:hAnsi="仿宋" w:eastAsia="仿宋" w:cs="仿宋"/>
          <w:color w:val="333333"/>
          <w:sz w:val="32"/>
          <w:szCs w:val="32"/>
        </w:rPr>
        <w:t>%。</w:t>
      </w:r>
    </w:p>
    <w:p>
      <w:pPr>
        <w:numPr>
          <w:ilvl w:val="0"/>
          <w:numId w:val="0"/>
        </w:numPr>
        <w:ind w:leftChars="0"/>
        <w:jc w:val="left"/>
        <w:rPr>
          <w:rFonts w:hint="eastAsia" w:ascii="楷体" w:hAnsi="楷体" w:eastAsia="楷体" w:cs="楷体"/>
          <w:sz w:val="32"/>
        </w:rPr>
      </w:pPr>
    </w:p>
    <w:p>
      <w:pPr>
        <w:numPr>
          <w:ilvl w:val="0"/>
          <w:numId w:val="0"/>
        </w:numPr>
        <w:ind w:leftChars="0"/>
        <w:jc w:val="left"/>
        <w:rPr>
          <w:rFonts w:hint="eastAsia" w:ascii="楷体" w:hAnsi="楷体" w:eastAsia="楷体" w:cs="楷体"/>
          <w:sz w:val="32"/>
        </w:rPr>
      </w:pPr>
      <w:r>
        <w:rPr>
          <w:rFonts w:hint="eastAsia" w:ascii="楷体" w:hAnsi="楷体" w:eastAsia="楷体" w:cs="楷体"/>
          <w:sz w:val="32"/>
          <w:lang w:eastAsia="zh-CN"/>
        </w:rPr>
        <w:t>五、</w:t>
      </w:r>
      <w:r>
        <w:rPr>
          <w:rFonts w:hint="eastAsia" w:ascii="楷体" w:hAnsi="楷体" w:eastAsia="楷体" w:cs="楷体"/>
          <w:sz w:val="32"/>
        </w:rPr>
        <w:t>一般公共预算财政拨款支出决算情况说明</w:t>
      </w:r>
    </w:p>
    <w:p>
      <w:pPr>
        <w:pStyle w:val="4"/>
        <w:keepNext w:val="0"/>
        <w:keepLines w:val="0"/>
        <w:widowControl/>
        <w:suppressLineNumbers w:val="0"/>
        <w:spacing w:before="300" w:beforeAutospacing="0" w:after="0" w:afterAutospacing="0" w:line="600" w:lineRule="atLeast"/>
        <w:ind w:left="0" w:right="0" w:firstLine="640"/>
        <w:jc w:val="both"/>
        <w:rPr>
          <w:rFonts w:ascii="Calibri" w:hAnsi="Calibri" w:cs="Calibri"/>
          <w:sz w:val="21"/>
          <w:szCs w:val="21"/>
        </w:rPr>
      </w:pPr>
      <w:r>
        <w:rPr>
          <w:rFonts w:ascii="仿宋" w:hAnsi="仿宋" w:eastAsia="仿宋" w:cs="仿宋"/>
          <w:color w:val="333333"/>
          <w:sz w:val="32"/>
          <w:szCs w:val="32"/>
        </w:rPr>
        <w:t>（一）一般公共预算拨款支出总体情况</w:t>
      </w:r>
    </w:p>
    <w:p>
      <w:pPr>
        <w:pStyle w:val="4"/>
        <w:keepNext w:val="0"/>
        <w:keepLines w:val="0"/>
        <w:widowControl/>
        <w:suppressLineNumbers w:val="0"/>
        <w:spacing w:before="300" w:beforeAutospacing="0" w:after="0" w:afterAutospacing="0" w:line="60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rPr>
        <w:t>2019年度财政拨款支出</w:t>
      </w:r>
      <w:r>
        <w:rPr>
          <w:rFonts w:hint="eastAsia" w:ascii="仿宋" w:hAnsi="仿宋" w:eastAsia="仿宋" w:cs="仿宋"/>
          <w:color w:val="333333"/>
          <w:sz w:val="32"/>
          <w:szCs w:val="32"/>
          <w:lang w:val="en-US" w:eastAsia="zh-CN"/>
        </w:rPr>
        <w:t>585.37</w:t>
      </w:r>
      <w:r>
        <w:rPr>
          <w:rFonts w:hint="eastAsia" w:ascii="仿宋" w:hAnsi="仿宋" w:eastAsia="仿宋" w:cs="仿宋"/>
          <w:color w:val="333333"/>
          <w:sz w:val="32"/>
          <w:szCs w:val="32"/>
        </w:rPr>
        <w:t>万元。与2018年度</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674.82万元）</w:t>
      </w:r>
      <w:r>
        <w:rPr>
          <w:rFonts w:hint="eastAsia" w:ascii="仿宋" w:hAnsi="仿宋" w:eastAsia="仿宋" w:cs="仿宋"/>
          <w:color w:val="333333"/>
          <w:sz w:val="32"/>
          <w:szCs w:val="32"/>
        </w:rPr>
        <w:t>相比，比上年增</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lang w:val="en-US" w:eastAsia="zh-CN"/>
        </w:rPr>
        <w:t>89.45</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lang w:val="en-US" w:eastAsia="zh-CN"/>
        </w:rPr>
        <w:t>13.26</w:t>
      </w:r>
      <w:r>
        <w:rPr>
          <w:rFonts w:hint="eastAsia" w:ascii="仿宋" w:hAnsi="仿宋" w:eastAsia="仿宋" w:cs="仿宋"/>
          <w:color w:val="333333"/>
          <w:sz w:val="32"/>
          <w:szCs w:val="32"/>
        </w:rPr>
        <w:t>%。</w:t>
      </w:r>
    </w:p>
    <w:p>
      <w:pPr>
        <w:pStyle w:val="4"/>
        <w:keepNext w:val="0"/>
        <w:keepLines w:val="0"/>
        <w:widowControl/>
        <w:suppressLineNumbers w:val="0"/>
        <w:spacing w:before="300" w:beforeAutospacing="0" w:after="0" w:afterAutospacing="0" w:line="60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rPr>
        <w:t>（二）一般公共预算拨款支出决算结构情况</w:t>
      </w:r>
    </w:p>
    <w:p>
      <w:pPr>
        <w:pStyle w:val="4"/>
        <w:keepNext w:val="0"/>
        <w:keepLines w:val="0"/>
        <w:widowControl/>
        <w:suppressLineNumbers w:val="0"/>
        <w:spacing w:before="300" w:beforeAutospacing="0" w:after="0" w:afterAutospacing="0" w:line="600" w:lineRule="atLeast"/>
        <w:ind w:left="0" w:right="0" w:firstLine="640"/>
        <w:jc w:val="both"/>
        <w:rPr>
          <w:rFonts w:hint="eastAsia" w:ascii="仿宋" w:hAnsi="仿宋" w:eastAsia="仿宋" w:cs="仿宋"/>
          <w:color w:val="333333"/>
          <w:sz w:val="32"/>
          <w:szCs w:val="32"/>
        </w:rPr>
      </w:pPr>
      <w:r>
        <w:rPr>
          <w:rFonts w:hint="eastAsia" w:ascii="仿宋" w:hAnsi="仿宋" w:eastAsia="仿宋" w:cs="仿宋"/>
          <w:color w:val="333333"/>
          <w:sz w:val="32"/>
          <w:szCs w:val="32"/>
        </w:rPr>
        <w:t>一般公共预算拨款支出</w:t>
      </w:r>
      <w:r>
        <w:rPr>
          <w:rFonts w:hint="eastAsia" w:ascii="仿宋" w:hAnsi="仿宋" w:eastAsia="仿宋" w:cs="仿宋"/>
          <w:color w:val="333333"/>
          <w:sz w:val="32"/>
          <w:szCs w:val="32"/>
          <w:lang w:val="en-US" w:eastAsia="zh-CN"/>
        </w:rPr>
        <w:t>585.37</w:t>
      </w:r>
      <w:r>
        <w:rPr>
          <w:rFonts w:hint="eastAsia" w:ascii="仿宋" w:hAnsi="仿宋" w:eastAsia="仿宋" w:cs="仿宋"/>
          <w:color w:val="333333"/>
          <w:sz w:val="32"/>
          <w:szCs w:val="32"/>
        </w:rPr>
        <w:t>万元，主要用于以下方面：一般公共服务支出</w:t>
      </w:r>
      <w:r>
        <w:rPr>
          <w:rFonts w:hint="eastAsia" w:ascii="仿宋" w:hAnsi="仿宋" w:eastAsia="仿宋" w:cs="仿宋"/>
          <w:color w:val="333333"/>
          <w:sz w:val="32"/>
          <w:szCs w:val="32"/>
          <w:lang w:val="en-US" w:eastAsia="zh-CN"/>
        </w:rPr>
        <w:t>568.19</w:t>
      </w:r>
      <w:r>
        <w:rPr>
          <w:rFonts w:hint="eastAsia" w:ascii="仿宋" w:hAnsi="仿宋" w:eastAsia="仿宋" w:cs="仿宋"/>
          <w:color w:val="333333"/>
          <w:sz w:val="32"/>
          <w:szCs w:val="32"/>
        </w:rPr>
        <w:t>万元，占9</w:t>
      </w:r>
      <w:r>
        <w:rPr>
          <w:rFonts w:hint="eastAsia" w:ascii="仿宋" w:hAnsi="仿宋" w:eastAsia="仿宋" w:cs="仿宋"/>
          <w:color w:val="333333"/>
          <w:sz w:val="32"/>
          <w:szCs w:val="32"/>
          <w:lang w:val="en-US" w:eastAsia="zh-CN"/>
        </w:rPr>
        <w:t>7.07</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住房保障</w:t>
      </w:r>
      <w:r>
        <w:rPr>
          <w:rFonts w:hint="eastAsia" w:ascii="仿宋" w:hAnsi="仿宋" w:eastAsia="仿宋" w:cs="仿宋"/>
          <w:color w:val="333333"/>
          <w:sz w:val="32"/>
          <w:szCs w:val="32"/>
        </w:rPr>
        <w:t>支出</w:t>
      </w:r>
      <w:r>
        <w:rPr>
          <w:rFonts w:hint="eastAsia" w:ascii="仿宋" w:hAnsi="仿宋" w:eastAsia="仿宋" w:cs="仿宋"/>
          <w:color w:val="333333"/>
          <w:sz w:val="32"/>
          <w:szCs w:val="32"/>
          <w:lang w:val="en-US" w:eastAsia="zh-CN"/>
        </w:rPr>
        <w:t>17.19</w:t>
      </w:r>
      <w:r>
        <w:rPr>
          <w:rFonts w:hint="eastAsia" w:ascii="仿宋" w:hAnsi="仿宋" w:eastAsia="仿宋" w:cs="仿宋"/>
          <w:color w:val="333333"/>
          <w:sz w:val="32"/>
          <w:szCs w:val="32"/>
        </w:rPr>
        <w:t>万元，占</w:t>
      </w:r>
      <w:r>
        <w:rPr>
          <w:rFonts w:hint="eastAsia" w:ascii="仿宋" w:hAnsi="仿宋" w:eastAsia="仿宋" w:cs="仿宋"/>
          <w:color w:val="333333"/>
          <w:sz w:val="32"/>
          <w:szCs w:val="32"/>
          <w:lang w:val="en-US" w:eastAsia="zh-CN"/>
        </w:rPr>
        <w:t>2.93</w:t>
      </w:r>
      <w:r>
        <w:rPr>
          <w:rFonts w:hint="eastAsia" w:ascii="仿宋" w:hAnsi="仿宋" w:eastAsia="仿宋" w:cs="仿宋"/>
          <w:color w:val="333333"/>
          <w:sz w:val="32"/>
          <w:szCs w:val="32"/>
        </w:rPr>
        <w:t>%。</w:t>
      </w:r>
    </w:p>
    <w:p>
      <w:pPr>
        <w:pStyle w:val="4"/>
        <w:keepNext w:val="0"/>
        <w:keepLines w:val="0"/>
        <w:widowControl/>
        <w:suppressLineNumbers w:val="0"/>
        <w:spacing w:before="300" w:beforeAutospacing="0" w:after="0" w:afterAutospacing="0" w:line="60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rPr>
        <w:t>（三）一般公共预算拨款支出决算具体情况</w:t>
      </w:r>
    </w:p>
    <w:p>
      <w:pPr>
        <w:pStyle w:val="4"/>
        <w:keepNext w:val="0"/>
        <w:keepLines w:val="0"/>
        <w:widowControl/>
        <w:suppressLineNumbers w:val="0"/>
        <w:spacing w:before="300" w:beforeAutospacing="0" w:after="0" w:afterAutospacing="0" w:line="60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rPr>
        <w:t>2019年度一般公共预算拨款支出决算为</w:t>
      </w:r>
      <w:r>
        <w:rPr>
          <w:rFonts w:hint="eastAsia" w:ascii="仿宋" w:hAnsi="仿宋" w:eastAsia="仿宋" w:cs="仿宋"/>
          <w:color w:val="333333"/>
          <w:sz w:val="32"/>
          <w:szCs w:val="32"/>
          <w:lang w:val="en-US" w:eastAsia="zh-CN"/>
        </w:rPr>
        <w:t>585.37</w:t>
      </w:r>
      <w:r>
        <w:rPr>
          <w:rFonts w:hint="eastAsia" w:ascii="仿宋" w:hAnsi="仿宋" w:eastAsia="仿宋" w:cs="仿宋"/>
          <w:color w:val="333333"/>
          <w:sz w:val="32"/>
          <w:szCs w:val="32"/>
        </w:rPr>
        <w:t>万元，按经济分类：工资福利支出</w:t>
      </w:r>
      <w:r>
        <w:rPr>
          <w:rFonts w:hint="eastAsia" w:ascii="仿宋" w:hAnsi="仿宋" w:eastAsia="仿宋" w:cs="仿宋"/>
          <w:color w:val="333333"/>
          <w:sz w:val="32"/>
          <w:szCs w:val="32"/>
          <w:lang w:val="en-US" w:eastAsia="zh-CN"/>
        </w:rPr>
        <w:t>261.72</w:t>
      </w:r>
      <w:r>
        <w:rPr>
          <w:rFonts w:hint="eastAsia" w:ascii="仿宋" w:hAnsi="仿宋" w:eastAsia="仿宋" w:cs="仿宋"/>
          <w:color w:val="333333"/>
          <w:sz w:val="32"/>
          <w:szCs w:val="32"/>
        </w:rPr>
        <w:t>万元，比上年</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264.77万元）减少1.15</w:t>
      </w:r>
      <w:r>
        <w:rPr>
          <w:rFonts w:hint="eastAsia" w:ascii="仿宋" w:hAnsi="仿宋" w:eastAsia="仿宋" w:cs="仿宋"/>
          <w:color w:val="333333"/>
          <w:sz w:val="32"/>
          <w:szCs w:val="32"/>
        </w:rPr>
        <w:t>%。商品和服务支出</w:t>
      </w:r>
      <w:r>
        <w:rPr>
          <w:rFonts w:hint="eastAsia" w:ascii="仿宋" w:hAnsi="仿宋" w:eastAsia="仿宋" w:cs="仿宋"/>
          <w:color w:val="333333"/>
          <w:sz w:val="32"/>
          <w:szCs w:val="32"/>
          <w:lang w:val="en-US" w:eastAsia="zh-CN"/>
        </w:rPr>
        <w:t>27.54</w:t>
      </w:r>
      <w:r>
        <w:rPr>
          <w:rFonts w:hint="eastAsia" w:ascii="仿宋" w:hAnsi="仿宋" w:eastAsia="仿宋" w:cs="仿宋"/>
          <w:color w:val="333333"/>
          <w:sz w:val="32"/>
          <w:szCs w:val="32"/>
        </w:rPr>
        <w:t>万元，比上年</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32.20万元）</w:t>
      </w:r>
      <w:r>
        <w:rPr>
          <w:rFonts w:hint="eastAsia" w:ascii="仿宋" w:hAnsi="仿宋" w:eastAsia="仿宋" w:cs="仿宋"/>
          <w:color w:val="333333"/>
          <w:sz w:val="32"/>
          <w:szCs w:val="32"/>
        </w:rPr>
        <w:t>减少</w:t>
      </w:r>
      <w:r>
        <w:rPr>
          <w:rFonts w:hint="eastAsia" w:ascii="仿宋" w:hAnsi="仿宋" w:eastAsia="仿宋" w:cs="仿宋"/>
          <w:color w:val="333333"/>
          <w:sz w:val="32"/>
          <w:szCs w:val="32"/>
          <w:lang w:val="en-US" w:eastAsia="zh-CN"/>
        </w:rPr>
        <w:t>14.48</w:t>
      </w:r>
      <w:r>
        <w:rPr>
          <w:rFonts w:hint="eastAsia" w:ascii="仿宋" w:hAnsi="仿宋" w:eastAsia="仿宋" w:cs="仿宋"/>
          <w:color w:val="333333"/>
          <w:sz w:val="32"/>
          <w:szCs w:val="32"/>
        </w:rPr>
        <w:t>%。对个人和家庭的补助</w:t>
      </w:r>
      <w:r>
        <w:rPr>
          <w:rFonts w:hint="eastAsia" w:ascii="仿宋" w:hAnsi="仿宋" w:eastAsia="仿宋" w:cs="仿宋"/>
          <w:color w:val="333333"/>
          <w:sz w:val="32"/>
          <w:szCs w:val="32"/>
          <w:lang w:val="en-US" w:eastAsia="zh-CN"/>
        </w:rPr>
        <w:t>19.40</w:t>
      </w:r>
      <w:r>
        <w:rPr>
          <w:rFonts w:hint="eastAsia" w:ascii="仿宋" w:hAnsi="仿宋" w:eastAsia="仿宋" w:cs="仿宋"/>
          <w:color w:val="333333"/>
          <w:sz w:val="32"/>
          <w:szCs w:val="32"/>
        </w:rPr>
        <w:t>万元，比上年</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9.71万元）增加99.79</w:t>
      </w:r>
      <w:r>
        <w:rPr>
          <w:rFonts w:hint="eastAsia" w:ascii="仿宋" w:hAnsi="仿宋" w:eastAsia="仿宋" w:cs="仿宋"/>
          <w:color w:val="333333"/>
          <w:sz w:val="32"/>
          <w:szCs w:val="32"/>
        </w:rPr>
        <w:t>%。项目支出2</w:t>
      </w:r>
      <w:r>
        <w:rPr>
          <w:rFonts w:hint="eastAsia" w:ascii="仿宋" w:hAnsi="仿宋" w:eastAsia="仿宋" w:cs="仿宋"/>
          <w:color w:val="333333"/>
          <w:sz w:val="32"/>
          <w:szCs w:val="32"/>
          <w:lang w:val="en-US" w:eastAsia="zh-CN"/>
        </w:rPr>
        <w:t>76.71</w:t>
      </w:r>
      <w:r>
        <w:rPr>
          <w:rFonts w:hint="eastAsia" w:ascii="仿宋" w:hAnsi="仿宋" w:eastAsia="仿宋" w:cs="仿宋"/>
          <w:color w:val="333333"/>
          <w:sz w:val="32"/>
          <w:szCs w:val="32"/>
        </w:rPr>
        <w:t>万元。</w:t>
      </w:r>
    </w:p>
    <w:p>
      <w:pPr>
        <w:numPr>
          <w:ilvl w:val="0"/>
          <w:numId w:val="0"/>
        </w:numPr>
        <w:ind w:leftChars="0"/>
        <w:jc w:val="left"/>
        <w:rPr>
          <w:rFonts w:hint="eastAsia" w:ascii="楷体" w:hAnsi="楷体" w:eastAsia="楷体" w:cs="楷体"/>
          <w:sz w:val="32"/>
        </w:rPr>
      </w:pPr>
    </w:p>
    <w:p>
      <w:pPr>
        <w:numPr>
          <w:ilvl w:val="0"/>
          <w:numId w:val="0"/>
        </w:numPr>
        <w:ind w:leftChars="0"/>
        <w:jc w:val="left"/>
        <w:rPr>
          <w:rFonts w:hint="eastAsia" w:ascii="楷体" w:hAnsi="楷体" w:eastAsia="楷体" w:cs="楷体"/>
          <w:sz w:val="32"/>
        </w:rPr>
      </w:pPr>
    </w:p>
    <w:p>
      <w:pPr>
        <w:numPr>
          <w:ilvl w:val="0"/>
          <w:numId w:val="5"/>
        </w:numPr>
        <w:jc w:val="left"/>
        <w:rPr>
          <w:rFonts w:hint="eastAsia" w:ascii="楷体" w:hAnsi="楷体" w:eastAsia="楷体" w:cs="楷体"/>
          <w:sz w:val="32"/>
        </w:rPr>
      </w:pPr>
      <w:r>
        <w:rPr>
          <w:rFonts w:hint="eastAsia" w:ascii="楷体" w:hAnsi="楷体" w:eastAsia="楷体" w:cs="楷体"/>
          <w:sz w:val="32"/>
        </w:rPr>
        <w:t xml:space="preserve">一般公共预算财政拨款基本支出决算情况说明 </w:t>
      </w:r>
    </w:p>
    <w:p>
      <w:pPr>
        <w:pStyle w:val="4"/>
        <w:keepNext w:val="0"/>
        <w:keepLines w:val="0"/>
        <w:widowControl/>
        <w:suppressLineNumbers w:val="0"/>
        <w:spacing w:before="300" w:beforeAutospacing="0" w:after="0" w:afterAutospacing="0" w:line="600" w:lineRule="atLeast"/>
        <w:ind w:left="0" w:right="0" w:firstLine="640"/>
        <w:jc w:val="both"/>
        <w:rPr>
          <w:rFonts w:ascii="Calibri" w:hAnsi="Calibri" w:cs="Calibri"/>
          <w:sz w:val="21"/>
          <w:szCs w:val="21"/>
        </w:rPr>
      </w:pPr>
      <w:r>
        <w:rPr>
          <w:rFonts w:hint="eastAsia" w:ascii="楷体" w:hAnsi="楷体" w:eastAsia="楷体" w:cs="楷体"/>
          <w:sz w:val="32"/>
          <w:lang w:val="en-US" w:eastAsia="zh-CN"/>
        </w:rPr>
        <w:t xml:space="preserve"> </w:t>
      </w:r>
      <w:r>
        <w:rPr>
          <w:rFonts w:ascii="仿宋" w:hAnsi="仿宋" w:eastAsia="仿宋" w:cs="仿宋"/>
          <w:color w:val="333333"/>
          <w:sz w:val="32"/>
          <w:szCs w:val="32"/>
        </w:rPr>
        <w:t>2019年度一般公共预算财政拨款基本支出</w:t>
      </w:r>
      <w:r>
        <w:rPr>
          <w:rFonts w:hint="eastAsia" w:ascii="仿宋" w:hAnsi="仿宋" w:eastAsia="仿宋" w:cs="仿宋"/>
          <w:color w:val="333333"/>
          <w:sz w:val="32"/>
          <w:szCs w:val="32"/>
          <w:lang w:val="en-US" w:eastAsia="zh-CN"/>
        </w:rPr>
        <w:t>308.66</w:t>
      </w:r>
      <w:r>
        <w:rPr>
          <w:rFonts w:ascii="仿宋" w:hAnsi="仿宋" w:eastAsia="仿宋" w:cs="仿宋"/>
          <w:color w:val="333333"/>
          <w:sz w:val="32"/>
          <w:szCs w:val="32"/>
        </w:rPr>
        <w:t>万元。其中: 人员经费2</w:t>
      </w:r>
      <w:r>
        <w:rPr>
          <w:rFonts w:hint="eastAsia" w:ascii="仿宋" w:hAnsi="仿宋" w:eastAsia="仿宋" w:cs="仿宋"/>
          <w:color w:val="333333"/>
          <w:sz w:val="32"/>
          <w:szCs w:val="32"/>
          <w:lang w:val="en-US" w:eastAsia="zh-CN"/>
        </w:rPr>
        <w:t>81.12</w:t>
      </w:r>
      <w:r>
        <w:rPr>
          <w:rFonts w:ascii="仿宋" w:hAnsi="仿宋" w:eastAsia="仿宋" w:cs="仿宋"/>
          <w:color w:val="333333"/>
          <w:sz w:val="32"/>
          <w:szCs w:val="32"/>
        </w:rPr>
        <w:t>万元，主要包括：按国家规定支出的</w:t>
      </w:r>
      <w:r>
        <w:rPr>
          <w:rFonts w:hint="eastAsia" w:ascii="仿宋" w:hAnsi="仿宋" w:eastAsia="仿宋" w:cs="仿宋"/>
          <w:color w:val="333333"/>
          <w:sz w:val="32"/>
          <w:szCs w:val="32"/>
          <w:lang w:eastAsia="zh-CN"/>
        </w:rPr>
        <w:t>基本工资、津贴补贴、奖金、伙食补助费、机关事业单位基本养老保险缴费、职工基本医疗保险缴费、其他社会保障缴费、住房公积金、退休费、生活补助、奖励金、其他对个人和家庭的补助</w:t>
      </w:r>
      <w:r>
        <w:rPr>
          <w:rFonts w:ascii="仿宋" w:hAnsi="仿宋" w:eastAsia="仿宋" w:cs="仿宋"/>
          <w:color w:val="333333"/>
          <w:sz w:val="32"/>
          <w:szCs w:val="32"/>
        </w:rPr>
        <w:t>；公用经费</w:t>
      </w:r>
      <w:r>
        <w:rPr>
          <w:rFonts w:hint="eastAsia" w:ascii="仿宋" w:hAnsi="仿宋" w:eastAsia="仿宋" w:cs="仿宋"/>
          <w:color w:val="333333"/>
          <w:sz w:val="32"/>
          <w:szCs w:val="32"/>
          <w:lang w:val="en-US" w:eastAsia="zh-CN"/>
        </w:rPr>
        <w:t>27.54</w:t>
      </w:r>
      <w:r>
        <w:rPr>
          <w:rFonts w:ascii="仿宋" w:hAnsi="仿宋" w:eastAsia="仿宋" w:cs="仿宋"/>
          <w:color w:val="333333"/>
          <w:sz w:val="32"/>
          <w:szCs w:val="32"/>
        </w:rPr>
        <w:t>万元，主要包括：办公费、</w:t>
      </w:r>
      <w:r>
        <w:rPr>
          <w:rFonts w:hint="eastAsia" w:ascii="仿宋" w:hAnsi="仿宋" w:eastAsia="仿宋" w:cs="仿宋"/>
          <w:color w:val="333333"/>
          <w:sz w:val="32"/>
          <w:szCs w:val="32"/>
          <w:lang w:eastAsia="zh-CN"/>
        </w:rPr>
        <w:t>电费</w:t>
      </w:r>
      <w:r>
        <w:rPr>
          <w:rFonts w:ascii="仿宋" w:hAnsi="仿宋" w:eastAsia="仿宋" w:cs="仿宋"/>
          <w:color w:val="333333"/>
          <w:sz w:val="32"/>
          <w:szCs w:val="32"/>
        </w:rPr>
        <w:t>、</w:t>
      </w:r>
      <w:r>
        <w:rPr>
          <w:rFonts w:hint="eastAsia" w:ascii="仿宋" w:hAnsi="仿宋" w:eastAsia="仿宋" w:cs="仿宋"/>
          <w:color w:val="333333"/>
          <w:sz w:val="32"/>
          <w:szCs w:val="32"/>
          <w:lang w:eastAsia="zh-CN"/>
        </w:rPr>
        <w:t>差旅费、工会经费、其他交通费用</w:t>
      </w:r>
      <w:r>
        <w:rPr>
          <w:rFonts w:ascii="仿宋" w:hAnsi="仿宋" w:eastAsia="仿宋" w:cs="仿宋"/>
          <w:color w:val="333333"/>
          <w:sz w:val="32"/>
          <w:szCs w:val="32"/>
        </w:rPr>
        <w:t>。</w:t>
      </w:r>
    </w:p>
    <w:p>
      <w:pPr>
        <w:numPr>
          <w:ilvl w:val="0"/>
          <w:numId w:val="0"/>
        </w:numPr>
        <w:jc w:val="left"/>
        <w:rPr>
          <w:rFonts w:hint="eastAsia" w:ascii="楷体" w:hAnsi="楷体" w:eastAsia="楷体" w:cs="楷体"/>
          <w:sz w:val="32"/>
          <w:lang w:val="en-US" w:eastAsia="zh-CN"/>
        </w:rPr>
      </w:pPr>
    </w:p>
    <w:p>
      <w:pPr>
        <w:numPr>
          <w:ilvl w:val="0"/>
          <w:numId w:val="5"/>
        </w:numPr>
        <w:ind w:left="0" w:leftChars="0" w:firstLine="0" w:firstLineChars="0"/>
        <w:jc w:val="left"/>
        <w:rPr>
          <w:rFonts w:ascii="楷体" w:hAnsi="楷体" w:eastAsia="楷体" w:cs="楷体"/>
          <w:sz w:val="32"/>
        </w:rPr>
      </w:pPr>
      <w:r>
        <w:rPr>
          <w:rFonts w:ascii="楷体" w:hAnsi="楷体" w:eastAsia="楷体" w:cs="楷体"/>
          <w:sz w:val="32"/>
        </w:rPr>
        <w:t>政府性基金预算财政拨款支出决算情况说明</w:t>
      </w:r>
    </w:p>
    <w:p>
      <w:pPr>
        <w:pStyle w:val="4"/>
        <w:keepNext w:val="0"/>
        <w:keepLines w:val="0"/>
        <w:widowControl/>
        <w:suppressLineNumbers w:val="0"/>
        <w:spacing w:before="300" w:beforeAutospacing="0" w:after="0" w:afterAutospacing="0" w:line="600" w:lineRule="atLeast"/>
        <w:ind w:right="0" w:firstLine="640" w:firstLineChars="200"/>
        <w:jc w:val="both"/>
        <w:rPr>
          <w:rFonts w:ascii="Calibri" w:hAnsi="Calibri" w:cs="Calibri"/>
          <w:sz w:val="21"/>
          <w:szCs w:val="21"/>
        </w:rPr>
      </w:pPr>
      <w:r>
        <w:rPr>
          <w:rFonts w:hint="eastAsia" w:ascii="楷体" w:hAnsi="楷体" w:eastAsia="楷体" w:cs="楷体"/>
          <w:sz w:val="32"/>
          <w:lang w:val="en-US" w:eastAsia="zh-CN"/>
        </w:rPr>
        <w:t xml:space="preserve"> </w:t>
      </w:r>
      <w:r>
        <w:rPr>
          <w:rFonts w:ascii="仿宋" w:hAnsi="仿宋" w:eastAsia="仿宋" w:cs="仿宋"/>
          <w:color w:val="333333"/>
          <w:sz w:val="32"/>
          <w:szCs w:val="32"/>
        </w:rPr>
        <w:t>2019年本单位没有使用政府性基金预算拨款安排的支出。</w:t>
      </w:r>
    </w:p>
    <w:p>
      <w:pPr>
        <w:numPr>
          <w:ilvl w:val="0"/>
          <w:numId w:val="0"/>
        </w:numPr>
        <w:ind w:leftChars="0"/>
        <w:jc w:val="left"/>
        <w:rPr>
          <w:rFonts w:hint="default" w:ascii="楷体" w:hAnsi="楷体" w:eastAsia="楷体" w:cs="楷体"/>
          <w:sz w:val="32"/>
          <w:lang w:val="en-US" w:eastAsia="zh-CN"/>
        </w:rPr>
      </w:pPr>
    </w:p>
    <w:p>
      <w:pPr>
        <w:numPr>
          <w:ilvl w:val="0"/>
          <w:numId w:val="5"/>
        </w:numPr>
        <w:ind w:left="0" w:leftChars="0" w:firstLine="0" w:firstLineChars="0"/>
        <w:jc w:val="left"/>
        <w:rPr>
          <w:rFonts w:hint="eastAsia" w:ascii="楷体" w:hAnsi="楷体" w:eastAsia="楷体" w:cs="楷体"/>
          <w:sz w:val="32"/>
        </w:rPr>
      </w:pPr>
      <w:r>
        <w:rPr>
          <w:rFonts w:hint="eastAsia" w:ascii="楷体" w:hAnsi="楷体" w:eastAsia="楷体" w:cs="楷体"/>
          <w:sz w:val="32"/>
        </w:rPr>
        <w:t>一般公共预算财政拨款“三公”经费支出决算情况说明</w:t>
      </w:r>
    </w:p>
    <w:p>
      <w:pPr>
        <w:numPr>
          <w:ilvl w:val="0"/>
          <w:numId w:val="0"/>
        </w:numPr>
        <w:ind w:leftChars="0" w:firstLine="640"/>
        <w:jc w:val="left"/>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2019年，本单位公务接待费1.35万元，国内公务接待批次93次，人次462人。相比去年减少2.65万元，厉行节约。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bdr w:val="none" w:color="auto" w:sz="0" w:space="0"/>
          <w:shd w:val="clear" w:fill="FFFFFF"/>
        </w:rPr>
        <w:t>1</w:t>
      </w:r>
      <w:r>
        <w:rPr>
          <w:rFonts w:hint="eastAsia" w:ascii="楷体" w:hAnsi="楷体" w:eastAsia="楷体" w:cs="楷体"/>
          <w:i w:val="0"/>
          <w:iCs w:val="0"/>
          <w:caps w:val="0"/>
          <w:color w:val="333333"/>
          <w:spacing w:val="0"/>
          <w:sz w:val="32"/>
          <w:szCs w:val="32"/>
          <w:bdr w:val="none" w:color="auto" w:sz="0" w:space="0"/>
          <w:shd w:val="clear" w:fill="FFFFFF"/>
        </w:rPr>
        <w:t>、因公出国（境）情况说明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bdr w:val="none" w:color="auto" w:sz="0" w:space="0"/>
          <w:shd w:val="clear" w:fill="FFFFFF"/>
        </w:rPr>
        <w:t>无因公出国（境）经费。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无公务用车购置支出。</w:t>
      </w:r>
    </w:p>
    <w:p>
      <w:pPr>
        <w:numPr>
          <w:ilvl w:val="0"/>
          <w:numId w:val="6"/>
        </w:numPr>
        <w:ind w:leftChars="0" w:firstLine="640"/>
        <w:jc w:val="left"/>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政府采购支出情况说明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无政府采购支出。</w:t>
      </w:r>
    </w:p>
    <w:p>
      <w:pPr>
        <w:numPr>
          <w:ilvl w:val="0"/>
          <w:numId w:val="0"/>
        </w:numPr>
        <w:ind w:leftChars="0" w:firstLine="640"/>
        <w:jc w:val="left"/>
        <w:rPr>
          <w:rFonts w:hint="default" w:ascii="仿宋" w:hAnsi="仿宋" w:eastAsia="仿宋" w:cs="仿宋"/>
          <w:color w:val="333333"/>
          <w:kern w:val="0"/>
          <w:sz w:val="32"/>
          <w:szCs w:val="32"/>
          <w:lang w:val="en-US" w:eastAsia="zh-CN" w:bidi="ar"/>
        </w:rPr>
      </w:pPr>
    </w:p>
    <w:p>
      <w:pPr>
        <w:numPr>
          <w:ilvl w:val="0"/>
          <w:numId w:val="0"/>
        </w:numPr>
        <w:ind w:leftChars="0" w:firstLine="640"/>
        <w:jc w:val="left"/>
        <w:rPr>
          <w:rFonts w:hint="default" w:ascii="仿宋" w:hAnsi="仿宋" w:eastAsia="仿宋" w:cs="仿宋"/>
          <w:color w:val="333333"/>
          <w:kern w:val="0"/>
          <w:sz w:val="32"/>
          <w:szCs w:val="32"/>
          <w:lang w:val="en-US" w:eastAsia="zh-CN" w:bidi="ar"/>
        </w:rPr>
      </w:pPr>
    </w:p>
    <w:p>
      <w:pPr>
        <w:numPr>
          <w:ilvl w:val="0"/>
          <w:numId w:val="5"/>
        </w:numPr>
        <w:ind w:left="0" w:leftChars="0" w:firstLine="0" w:firstLineChars="0"/>
        <w:jc w:val="left"/>
        <w:rPr>
          <w:rFonts w:hint="eastAsia" w:ascii="楷体" w:hAnsi="楷体" w:eastAsia="楷体" w:cs="楷体"/>
          <w:sz w:val="32"/>
        </w:rPr>
      </w:pPr>
      <w:r>
        <w:rPr>
          <w:rFonts w:hint="eastAsia" w:ascii="楷体" w:hAnsi="楷体" w:eastAsia="楷体" w:cs="楷体"/>
          <w:sz w:val="32"/>
        </w:rPr>
        <w:t>预算绩效情况说明</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根据市财政局要求，我</w:t>
      </w:r>
      <w:r>
        <w:rPr>
          <w:rFonts w:hint="eastAsia" w:ascii="方正仿宋简体" w:hAnsi="方正仿宋简体" w:eastAsia="方正仿宋简体" w:cs="方正仿宋简体"/>
          <w:sz w:val="32"/>
          <w:szCs w:val="32"/>
          <w:lang w:eastAsia="zh-CN"/>
        </w:rPr>
        <w:t>部</w:t>
      </w:r>
      <w:r>
        <w:rPr>
          <w:rFonts w:hint="eastAsia" w:ascii="方正仿宋简体" w:hAnsi="方正仿宋简体" w:eastAsia="方正仿宋简体" w:cs="方正仿宋简体"/>
          <w:sz w:val="32"/>
          <w:szCs w:val="32"/>
        </w:rPr>
        <w:t>以绩效评估为契机，认真对照评估指标，按照年度工作计划扎实推进2019年度预算绩效自评工作。总的来说，2019年我</w:t>
      </w:r>
      <w:r>
        <w:rPr>
          <w:rFonts w:hint="eastAsia" w:ascii="方正仿宋简体" w:hAnsi="方正仿宋简体" w:eastAsia="方正仿宋简体" w:cs="方正仿宋简体"/>
          <w:sz w:val="32"/>
          <w:szCs w:val="32"/>
          <w:lang w:eastAsia="zh-CN"/>
        </w:rPr>
        <w:t>部</w:t>
      </w:r>
      <w:r>
        <w:rPr>
          <w:rFonts w:hint="eastAsia" w:ascii="方正仿宋简体" w:hAnsi="方正仿宋简体" w:eastAsia="方正仿宋简体" w:cs="方正仿宋简体"/>
          <w:sz w:val="32"/>
          <w:szCs w:val="32"/>
        </w:rPr>
        <w:t>全体干部职工积极履职、扎实工作，较好完成了全年工作目标。</w:t>
      </w:r>
    </w:p>
    <w:p>
      <w:pPr>
        <w:ind w:firstLine="643" w:firstLineChars="200"/>
        <w:rPr>
          <w:rFonts w:hint="eastAsia" w:ascii="方正仿宋简体" w:eastAsia="方正仿宋简体"/>
          <w:sz w:val="32"/>
        </w:rPr>
      </w:pPr>
      <w:r>
        <w:rPr>
          <w:rFonts w:hint="eastAsia" w:ascii="方正仿宋简体" w:eastAsia="方正仿宋简体"/>
          <w:b/>
          <w:sz w:val="32"/>
        </w:rPr>
        <w:t>——注重导向激励。</w:t>
      </w:r>
      <w:r>
        <w:rPr>
          <w:rFonts w:hint="eastAsia" w:ascii="方正仿宋简体" w:eastAsia="方正仿宋简体"/>
          <w:sz w:val="32"/>
        </w:rPr>
        <w:t>树立讲规矩树正气，讲担当比业绩导向，在选人用人上大力使用开拓创新有魄力、推动工作有力度、攻坚克难有担当、实绩实效突出的干部，着力选用在全面深化改革、脱贫攻坚、维护社会稳定中业绩突出的干部。</w:t>
      </w:r>
    </w:p>
    <w:p>
      <w:pPr>
        <w:ind w:firstLine="640" w:firstLineChars="200"/>
        <w:rPr>
          <w:rFonts w:hint="eastAsia" w:ascii="方正仿宋简体" w:eastAsia="方正仿宋简体"/>
          <w:sz w:val="32"/>
        </w:rPr>
      </w:pPr>
      <w:r>
        <w:rPr>
          <w:rFonts w:hint="eastAsia" w:ascii="方正仿宋简体" w:eastAsia="方正仿宋简体"/>
          <w:sz w:val="32"/>
          <w:lang w:val="en-US" w:eastAsia="zh-CN"/>
        </w:rPr>
        <w:t>2019</w:t>
      </w:r>
      <w:r>
        <w:rPr>
          <w:rFonts w:hint="eastAsia" w:ascii="方正仿宋简体" w:eastAsia="方正仿宋简体"/>
          <w:sz w:val="32"/>
        </w:rPr>
        <w:t>年机构改革工作中，突出政治标准，注重人岗相适，先行摸底、先做研判、先定方案，圆满完成干部选派、人事移交等工作，实现了干部队伍的平稳过渡。</w:t>
      </w:r>
    </w:p>
    <w:p>
      <w:pPr>
        <w:ind w:firstLine="643" w:firstLineChars="200"/>
        <w:rPr>
          <w:rFonts w:hint="eastAsia" w:ascii="方正仿宋简体" w:eastAsia="方正仿宋简体"/>
          <w:sz w:val="32"/>
        </w:rPr>
      </w:pPr>
      <w:r>
        <w:rPr>
          <w:rFonts w:hint="eastAsia" w:ascii="方正仿宋简体" w:eastAsia="方正仿宋简体"/>
          <w:b/>
          <w:sz w:val="32"/>
        </w:rPr>
        <w:t>——注重制度建设。</w:t>
      </w:r>
      <w:r>
        <w:rPr>
          <w:rFonts w:hint="eastAsia" w:ascii="方正仿宋简体" w:eastAsia="方正仿宋简体"/>
          <w:sz w:val="32"/>
        </w:rPr>
        <w:t>经多次研究讨论，市委出台《关于全面加强基层建设的二十条措施》,从明职权、畅通道、提待遇、引人才、减负担五个方面着手，让镇村两级有权办事、有力办事、有序办事，让基层干部干事有舞台、干好有激励、发展有空间，让基层干部待遇有保障、收入有增加、条件有改善，励引导人才流向基层、服务基层、创业基层，为基层简政、减负、减压，再一次向全市干部释放了鼓励担当、激励作为的强烈信号；研究制定《沅江市管科级领导干部交流工作规定》，进一步规范科级领导干部交流工作，加强领导班子建设，激励干部干事创业，促进党风廉政建设和机关效能建设，营造风清气正的政治生态；认真落实《益阳市管领导班子和领导干部开展政治建设考察的实施方案》，始终把准践行“两个维护”的根本定位，突出考准考实政治表现的首要任务，紧扣增强政治忠诚、思想自觉、情感认同、行动紧随的核心要求，紧紧围绕深学笃用习近平新时代中国特色社会主义思想，不折不扣贯彻落实习近平总书记对湖南工作提出的“一带一部”“三个着力”“精准扶贫”“守护好一江碧水”等重要指示要求，推动党中央决策部署落地见效。</w:t>
      </w:r>
    </w:p>
    <w:p>
      <w:pPr>
        <w:ind w:firstLine="643" w:firstLineChars="200"/>
        <w:rPr>
          <w:rFonts w:hint="eastAsia" w:ascii="方正仿宋简体" w:eastAsia="方正仿宋简体"/>
          <w:sz w:val="32"/>
          <w:lang w:eastAsia="zh-CN"/>
        </w:rPr>
      </w:pPr>
      <w:r>
        <w:rPr>
          <w:rFonts w:hint="eastAsia" w:ascii="方正仿宋简体" w:eastAsia="方正仿宋简体"/>
          <w:b/>
          <w:sz w:val="32"/>
        </w:rPr>
        <w:t>——注重年轻干部。</w:t>
      </w:r>
      <w:r>
        <w:rPr>
          <w:rFonts w:hint="eastAsia" w:ascii="方正仿宋简体" w:eastAsia="方正仿宋简体"/>
          <w:sz w:val="32"/>
        </w:rPr>
        <w:t>建立全市年轻后备干部信息库，通过面上谈心“听”情况、实地调研“察”实绩、综合研判“下”结论、相互印证“用”成果，掌握了一批群众认可度高、有发展潜力的优秀年轻干部。把农村一线、扶贫一线、重点项目建设一线、急难险重一线作为年轻干部培养锻炼的主阵地</w:t>
      </w:r>
      <w:r>
        <w:rPr>
          <w:rFonts w:hint="eastAsia" w:ascii="方正仿宋简体" w:eastAsia="方正仿宋简体"/>
          <w:sz w:val="32"/>
          <w:lang w:eastAsia="zh-CN"/>
        </w:rPr>
        <w:t>。</w:t>
      </w:r>
    </w:p>
    <w:p>
      <w:pPr>
        <w:ind w:firstLine="643" w:firstLineChars="200"/>
        <w:rPr>
          <w:rFonts w:hint="eastAsia" w:ascii="方正仿宋简体" w:hAnsi="仿宋" w:eastAsia="方正仿宋简体"/>
          <w:sz w:val="32"/>
        </w:rPr>
      </w:pPr>
      <w:r>
        <w:rPr>
          <w:rFonts w:hint="eastAsia" w:ascii="方正仿宋简体" w:eastAsia="方正仿宋简体"/>
          <w:b/>
          <w:sz w:val="32"/>
        </w:rPr>
        <w:t>——注重日常管理。</w:t>
      </w:r>
      <w:r>
        <w:rPr>
          <w:rFonts w:hint="eastAsia" w:ascii="方正仿宋简体" w:hAnsi="仿宋" w:eastAsia="方正仿宋简体"/>
          <w:sz w:val="32"/>
        </w:rPr>
        <w:t>对全市公务员、参公人员、事企业领导干部进行档案审理，</w:t>
      </w:r>
      <w:r>
        <w:rPr>
          <w:rFonts w:hint="eastAsia" w:ascii="方正仿宋简体" w:hAnsi="仿宋_GB2312" w:eastAsia="方正仿宋简体"/>
          <w:sz w:val="32"/>
        </w:rPr>
        <w:t>共调查研究年龄、学历、学习经历信息存疑干部档案近百卷。对存疑情况进行了相应的认定。对部分涉嫌档案造假的干部给予了相应处理。根据</w:t>
      </w:r>
      <w:r>
        <w:rPr>
          <w:rFonts w:hint="eastAsia" w:ascii="方正仿宋简体" w:hAnsi="仿宋" w:eastAsia="方正仿宋简体"/>
          <w:sz w:val="32"/>
        </w:rPr>
        <w:t>《沅江市职务与职级并行实施方案》，对符合本次套转的</w:t>
      </w:r>
      <w:r>
        <w:rPr>
          <w:rFonts w:hint="eastAsia" w:ascii="方正仿宋简体" w:hAnsi="仿宋" w:eastAsia="方正仿宋简体"/>
          <w:sz w:val="32"/>
          <w:lang w:eastAsia="zh-CN"/>
        </w:rPr>
        <w:t>人员</w:t>
      </w:r>
      <w:r>
        <w:rPr>
          <w:rFonts w:hint="eastAsia" w:ascii="方正仿宋简体" w:hAnsi="仿宋" w:eastAsia="方正仿宋简体"/>
          <w:sz w:val="32"/>
        </w:rPr>
        <w:t>进行套转，目前，晋升工作正在有序推进中。</w:t>
      </w:r>
    </w:p>
    <w:p>
      <w:pPr>
        <w:spacing w:line="550" w:lineRule="exact"/>
        <w:ind w:firstLine="643" w:firstLineChars="200"/>
        <w:rPr>
          <w:rFonts w:hint="eastAsia" w:ascii="方正仿宋简体" w:hAnsi="方正仿宋简体" w:eastAsia="方正仿宋简体"/>
          <w:sz w:val="32"/>
        </w:rPr>
      </w:pPr>
      <w:r>
        <w:rPr>
          <w:rFonts w:hint="eastAsia" w:ascii="方正仿宋简体" w:eastAsia="方正仿宋简体"/>
          <w:b/>
          <w:sz w:val="32"/>
        </w:rPr>
        <w:t>——注重考核问效。</w:t>
      </w:r>
      <w:r>
        <w:rPr>
          <w:rFonts w:hint="eastAsia" w:ascii="方正仿宋简体" w:eastAsia="方正仿宋简体"/>
          <w:sz w:val="32"/>
        </w:rPr>
        <w:t>建成市管干部信息数据库，提出并完善了“客观指标+主观评价+成绩排名”三分法考核评价体系，将考核结果与干部选拔任用、奖惩、日常管理、能上能下有机结合，以真考真用的“硬考核”，有效激发起干事创业的“强动力”。</w:t>
      </w:r>
      <w:r>
        <w:rPr>
          <w:rFonts w:hint="eastAsia" w:ascii="方正仿宋简体" w:hAnsi="方正仿宋简体" w:eastAsia="方正仿宋简体"/>
          <w:sz w:val="32"/>
        </w:rPr>
        <w:t>。</w:t>
      </w:r>
    </w:p>
    <w:p>
      <w:pPr>
        <w:ind w:firstLine="643" w:firstLineChars="200"/>
        <w:rPr>
          <w:rFonts w:hint="eastAsia" w:ascii="方正仿宋简体" w:eastAsia="方正仿宋简体"/>
          <w:sz w:val="32"/>
        </w:rPr>
      </w:pPr>
      <w:r>
        <w:rPr>
          <w:rFonts w:hint="eastAsia" w:ascii="方正仿宋简体" w:eastAsia="方正仿宋简体"/>
          <w:b/>
          <w:sz w:val="32"/>
        </w:rPr>
        <w:t>——注重反向鞭策。</w:t>
      </w:r>
      <w:r>
        <w:rPr>
          <w:rFonts w:hint="eastAsia" w:ascii="方正仿宋简体" w:eastAsia="方正仿宋简体"/>
          <w:sz w:val="32"/>
        </w:rPr>
        <w:t>建立个人有关事项报告“承诺双责任”制度，党委（党组）书记签字背书承诺履行主体责任，干部监督工作逐步向日常延伸拓展。</w:t>
      </w:r>
    </w:p>
    <w:p>
      <w:pPr>
        <w:jc w:val="left"/>
        <w:rPr>
          <w:rFonts w:ascii="楷体" w:hAnsi="楷体" w:eastAsia="楷体" w:cs="楷体"/>
          <w:sz w:val="32"/>
        </w:rPr>
      </w:pP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960" w:firstLineChars="300"/>
        <w:jc w:val="left"/>
        <w:rPr>
          <w:rFonts w:ascii="楷体" w:hAnsi="楷体" w:eastAsia="楷体" w:cs="楷体"/>
          <w:sz w:val="32"/>
        </w:rPr>
      </w:pPr>
      <w:r>
        <w:rPr>
          <w:rFonts w:ascii="楷体" w:hAnsi="楷体" w:eastAsia="楷体" w:cs="楷体"/>
          <w:sz w:val="32"/>
        </w:rPr>
        <w:t>预决算收支增减变化情况。</w:t>
      </w:r>
    </w:p>
    <w:p>
      <w:pPr>
        <w:ind w:firstLine="640"/>
        <w:jc w:val="left"/>
        <w:rPr>
          <w:rFonts w:hint="eastAsia" w:ascii="方正仿宋简体" w:hAnsi="方正仿宋简体" w:eastAsia="方正仿宋简体" w:cs="方正仿宋简体"/>
          <w:sz w:val="32"/>
          <w:szCs w:val="32"/>
        </w:rPr>
      </w:pPr>
      <w:r>
        <w:rPr>
          <w:rFonts w:hint="eastAsia" w:ascii="楷体" w:hAnsi="楷体" w:eastAsia="楷体" w:cs="楷体"/>
          <w:sz w:val="32"/>
          <w:lang w:val="en-US" w:eastAsia="zh-CN"/>
        </w:rPr>
        <w:t xml:space="preserve"> </w:t>
      </w:r>
      <w:r>
        <w:rPr>
          <w:rFonts w:hint="eastAsia" w:ascii="方正仿宋简体" w:hAnsi="方正仿宋简体" w:eastAsia="方正仿宋简体" w:cs="方正仿宋简体"/>
          <w:sz w:val="32"/>
          <w:szCs w:val="32"/>
        </w:rPr>
        <w:t>年初总预算收支情况：2019年度部门预算数为5443720元。</w:t>
      </w:r>
      <w:r>
        <w:rPr>
          <w:rFonts w:ascii="方正仿宋简体" w:hAnsi="方正仿宋简体" w:eastAsia="方正仿宋简体" w:cs="方正仿宋简体"/>
          <w:sz w:val="32"/>
          <w:szCs w:val="32"/>
        </w:rPr>
        <w:t xml:space="preserve"> 其中基本支出</w:t>
      </w:r>
      <w:r>
        <w:rPr>
          <w:rFonts w:hint="eastAsia" w:ascii="方正仿宋简体" w:hAnsi="方正仿宋简体" w:eastAsia="方正仿宋简体" w:cs="方正仿宋简体"/>
          <w:sz w:val="32"/>
          <w:szCs w:val="32"/>
        </w:rPr>
        <w:t>2423720元，</w:t>
      </w:r>
      <w:r>
        <w:rPr>
          <w:rFonts w:ascii="Times New Roman" w:hAnsi="宋体" w:eastAsia="宋体"/>
          <w:kern w:val="0"/>
          <w:sz w:val="24"/>
        </w:rPr>
        <w:t>项</w:t>
      </w:r>
      <w:r>
        <w:rPr>
          <w:rFonts w:ascii="方正仿宋简体" w:hAnsi="方正仿宋简体" w:eastAsia="方正仿宋简体" w:cs="方正仿宋简体"/>
          <w:sz w:val="32"/>
          <w:szCs w:val="32"/>
        </w:rPr>
        <w:t>目支出：</w:t>
      </w:r>
      <w:r>
        <w:rPr>
          <w:rFonts w:hint="eastAsia" w:ascii="方正仿宋简体" w:hAnsi="方正仿宋简体" w:eastAsia="方正仿宋简体" w:cs="方正仿宋简体"/>
          <w:sz w:val="32"/>
          <w:szCs w:val="32"/>
        </w:rPr>
        <w:t>3020000元。</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年度预算收入决算情况：2019年度收入合计6667550元，其中：财政拨款收入6660910万元，占</w:t>
      </w:r>
      <w:r>
        <w:rPr>
          <w:rFonts w:hint="eastAsia" w:ascii="方正仿宋简体" w:hAnsi="方正仿宋简体" w:eastAsia="方正仿宋简体" w:cs="方正仿宋简体"/>
          <w:sz w:val="32"/>
          <w:szCs w:val="32"/>
          <w:lang w:val="en-US" w:eastAsia="zh-CN"/>
        </w:rPr>
        <w:t>99.90</w:t>
      </w:r>
      <w:r>
        <w:rPr>
          <w:rFonts w:hint="eastAsia" w:ascii="方正仿宋简体" w:hAnsi="方正仿宋简体" w:eastAsia="方正仿宋简体" w:cs="方正仿宋简体"/>
          <w:sz w:val="32"/>
          <w:szCs w:val="32"/>
        </w:rPr>
        <w:t xml:space="preserve">%。 </w:t>
      </w:r>
    </w:p>
    <w:p>
      <w:pPr>
        <w:ind w:firstLine="64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年度预算支出决算及结余情况：2019年度一般预算财政拨款收入</w:t>
      </w:r>
      <w:r>
        <w:rPr>
          <w:rFonts w:hint="eastAsia" w:ascii="方正仿宋简体" w:hAnsi="方正仿宋简体" w:eastAsia="方正仿宋简体" w:cs="方正仿宋简体"/>
          <w:sz w:val="32"/>
          <w:szCs w:val="32"/>
          <w:lang w:val="en-US" w:eastAsia="zh-CN"/>
        </w:rPr>
        <w:t>6660910</w:t>
      </w:r>
      <w:r>
        <w:rPr>
          <w:rFonts w:hint="eastAsia" w:ascii="方正仿宋简体" w:hAnsi="方正仿宋简体" w:eastAsia="方正仿宋简体" w:cs="方正仿宋简体"/>
          <w:sz w:val="32"/>
          <w:szCs w:val="32"/>
        </w:rPr>
        <w:t>元，</w:t>
      </w:r>
      <w:r>
        <w:rPr>
          <w:rFonts w:hint="eastAsia" w:ascii="方正仿宋简体" w:hAnsi="方正仿宋简体" w:eastAsia="方正仿宋简体" w:cs="方正仿宋简体"/>
          <w:sz w:val="32"/>
          <w:szCs w:val="32"/>
          <w:lang w:eastAsia="zh-CN"/>
        </w:rPr>
        <w:t>其他收入</w:t>
      </w:r>
      <w:r>
        <w:rPr>
          <w:rFonts w:hint="eastAsia" w:ascii="方正仿宋简体" w:hAnsi="方正仿宋简体" w:eastAsia="方正仿宋简体" w:cs="方正仿宋简体"/>
          <w:sz w:val="32"/>
          <w:szCs w:val="32"/>
          <w:lang w:val="en-US" w:eastAsia="zh-CN"/>
        </w:rPr>
        <w:t>6640元，</w:t>
      </w:r>
      <w:r>
        <w:rPr>
          <w:rFonts w:hint="eastAsia" w:ascii="方正仿宋简体" w:hAnsi="方正仿宋简体" w:eastAsia="方正仿宋简体" w:cs="方正仿宋简体"/>
          <w:sz w:val="32"/>
          <w:szCs w:val="32"/>
        </w:rPr>
        <w:t>支出5853747.94元，上年结余</w:t>
      </w:r>
      <w:r>
        <w:rPr>
          <w:rFonts w:hint="eastAsia" w:ascii="方正仿宋简体" w:hAnsi="方正仿宋简体" w:eastAsia="方正仿宋简体" w:cs="方正仿宋简体"/>
          <w:sz w:val="32"/>
          <w:szCs w:val="32"/>
          <w:lang w:val="en-US" w:eastAsia="zh-CN"/>
        </w:rPr>
        <w:t>677327.74</w:t>
      </w:r>
      <w:r>
        <w:rPr>
          <w:rFonts w:hint="eastAsia" w:ascii="方正仿宋简体" w:hAnsi="方正仿宋简体" w:eastAsia="方正仿宋简体" w:cs="方正仿宋简体"/>
          <w:sz w:val="32"/>
          <w:szCs w:val="32"/>
        </w:rPr>
        <w:t>元，累计结余</w:t>
      </w:r>
      <w:r>
        <w:rPr>
          <w:rFonts w:hint="eastAsia" w:ascii="方正仿宋简体" w:hAnsi="方正仿宋简体" w:eastAsia="方正仿宋简体" w:cs="方正仿宋简体"/>
          <w:sz w:val="32"/>
          <w:szCs w:val="32"/>
          <w:lang w:val="en-US" w:eastAsia="zh-CN"/>
        </w:rPr>
        <w:t>1491129.80</w:t>
      </w:r>
      <w:r>
        <w:rPr>
          <w:rFonts w:hint="eastAsia" w:ascii="方正仿宋简体" w:hAnsi="方正仿宋简体" w:eastAsia="方正仿宋简体" w:cs="方正仿宋简体"/>
          <w:sz w:val="32"/>
          <w:szCs w:val="32"/>
        </w:rPr>
        <w:t>元。</w:t>
      </w:r>
    </w:p>
    <w:p>
      <w:pPr>
        <w:ind w:firstLine="640"/>
        <w:jc w:val="left"/>
        <w:rPr>
          <w:rFonts w:hint="eastAsia" w:ascii="方正仿宋简体" w:hAnsi="方正仿宋简体" w:eastAsia="方正仿宋简体" w:cs="方正仿宋简体"/>
          <w:sz w:val="32"/>
          <w:szCs w:val="32"/>
          <w:lang w:val="en-US" w:eastAsia="zh-CN"/>
        </w:rPr>
      </w:pPr>
    </w:p>
    <w:p>
      <w:pPr>
        <w:ind w:firstLine="640"/>
        <w:jc w:val="left"/>
        <w:rPr>
          <w:rFonts w:hint="eastAsia" w:ascii="方正仿宋简体" w:hAnsi="方正仿宋简体" w:eastAsia="方正仿宋简体" w:cs="方正仿宋简体"/>
          <w:sz w:val="32"/>
          <w:szCs w:val="32"/>
        </w:rPr>
      </w:pPr>
    </w:p>
    <w:p>
      <w:pPr>
        <w:ind w:firstLine="640"/>
        <w:jc w:val="left"/>
        <w:rPr>
          <w:rFonts w:hint="default" w:ascii="方正仿宋简体" w:hAnsi="方正仿宋简体" w:eastAsia="方正仿宋简体" w:cs="方正仿宋简体"/>
          <w:sz w:val="32"/>
          <w:szCs w:val="32"/>
          <w:lang w:val="en-US" w:eastAsia="zh-CN"/>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rPr>
          <w:rFonts w:ascii="黑体" w:hAnsi="黑体" w:eastAsia="黑体" w:cs="黑体"/>
          <w:sz w:val="32"/>
        </w:rPr>
      </w:pPr>
      <w:r>
        <w:rPr>
          <w:rFonts w:ascii="黑体" w:hAnsi="黑体" w:eastAsia="黑体" w:cs="黑体"/>
          <w:sz w:val="32"/>
        </w:rPr>
        <w:t>第四部分 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rPr>
          <w:rFonts w:ascii="黑体" w:hAnsi="黑体" w:eastAsia="黑体" w:cs="黑体"/>
          <w:sz w:val="32"/>
        </w:rPr>
      </w:pPr>
    </w:p>
    <w:p>
      <w:pPr>
        <w:numPr>
          <w:ilvl w:val="0"/>
          <w:numId w:val="0"/>
        </w:numPr>
        <w:rPr>
          <w:rFonts w:hint="default" w:ascii="黑体" w:hAnsi="黑体" w:eastAsia="黑体" w:cs="黑体"/>
          <w:sz w:val="32"/>
          <w:lang w:val="en-US" w:eastAsia="zh-CN"/>
        </w:rPr>
      </w:pPr>
      <w:bookmarkStart w:id="0" w:name="_GoBack"/>
      <w:bookmarkEnd w:id="0"/>
    </w:p>
    <w:sectPr>
      <w:head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4DEDE"/>
    <w:multiLevelType w:val="singleLevel"/>
    <w:tmpl w:val="9244DEDE"/>
    <w:lvl w:ilvl="0" w:tentative="0">
      <w:start w:val="3"/>
      <w:numFmt w:val="chineseCounting"/>
      <w:suff w:val="nothing"/>
      <w:lvlText w:val="%1、"/>
      <w:lvlJc w:val="left"/>
      <w:rPr>
        <w:rFonts w:hint="eastAsia"/>
      </w:rPr>
    </w:lvl>
  </w:abstractNum>
  <w:abstractNum w:abstractNumId="1">
    <w:nsid w:val="DA140249"/>
    <w:multiLevelType w:val="singleLevel"/>
    <w:tmpl w:val="DA140249"/>
    <w:lvl w:ilvl="0" w:tentative="0">
      <w:start w:val="1"/>
      <w:numFmt w:val="chineseCounting"/>
      <w:suff w:val="space"/>
      <w:lvlText w:val="第%1部分"/>
      <w:lvlJc w:val="left"/>
      <w:rPr>
        <w:rFonts w:hint="eastAsia"/>
      </w:rPr>
    </w:lvl>
  </w:abstractNum>
  <w:abstractNum w:abstractNumId="2">
    <w:nsid w:val="E7A1C045"/>
    <w:multiLevelType w:val="singleLevel"/>
    <w:tmpl w:val="E7A1C045"/>
    <w:lvl w:ilvl="0" w:tentative="0">
      <w:start w:val="3"/>
      <w:numFmt w:val="decimal"/>
      <w:suff w:val="nothing"/>
      <w:lvlText w:val="%1、"/>
      <w:lvlJc w:val="left"/>
    </w:lvl>
  </w:abstractNum>
  <w:abstractNum w:abstractNumId="3">
    <w:nsid w:val="21C7D00E"/>
    <w:multiLevelType w:val="singleLevel"/>
    <w:tmpl w:val="21C7D00E"/>
    <w:lvl w:ilvl="0" w:tentative="0">
      <w:start w:val="2"/>
      <w:numFmt w:val="chineseCounting"/>
      <w:suff w:val="nothing"/>
      <w:lvlText w:val="%1、"/>
      <w:lvlJc w:val="left"/>
      <w:rPr>
        <w:rFonts w:hint="eastAsia"/>
      </w:rPr>
    </w:lvl>
  </w:abstractNum>
  <w:abstractNum w:abstractNumId="4">
    <w:nsid w:val="35A19F4E"/>
    <w:multiLevelType w:val="singleLevel"/>
    <w:tmpl w:val="35A19F4E"/>
    <w:lvl w:ilvl="0" w:tentative="0">
      <w:start w:val="6"/>
      <w:numFmt w:val="chineseCounting"/>
      <w:suff w:val="nothing"/>
      <w:lvlText w:val="%1、"/>
      <w:lvlJc w:val="left"/>
      <w:rPr>
        <w:rFonts w:hint="eastAsia"/>
      </w:rPr>
    </w:lvl>
  </w:abstractNum>
  <w:abstractNum w:abstractNumId="5">
    <w:nsid w:val="55F81F1E"/>
    <w:multiLevelType w:val="singleLevel"/>
    <w:tmpl w:val="55F81F1E"/>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6C75574"/>
    <w:rsid w:val="0AF75F7C"/>
    <w:rsid w:val="10DF19DC"/>
    <w:rsid w:val="2F757F8C"/>
    <w:rsid w:val="3BE45237"/>
    <w:rsid w:val="4A9F2701"/>
    <w:rsid w:val="4D9068F6"/>
    <w:rsid w:val="4DED4AB9"/>
    <w:rsid w:val="4E495C87"/>
    <w:rsid w:val="57565C4C"/>
    <w:rsid w:val="57FD44AD"/>
    <w:rsid w:val="5EBA52F6"/>
    <w:rsid w:val="62825FAF"/>
    <w:rsid w:val="73B535AD"/>
    <w:rsid w:val="7E455597"/>
    <w:rsid w:val="7E56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22"/>
    <w:rPr>
      <w:sz w:val="24"/>
      <w:szCs w:val="24"/>
    </w:rPr>
  </w:style>
  <w:style w:type="character" w:styleId="8">
    <w:name w:val="FollowedHyperlink"/>
    <w:basedOn w:val="6"/>
    <w:unhideWhenUsed/>
    <w:qFormat/>
    <w:uiPriority w:val="99"/>
    <w:rPr>
      <w:color w:val="333333"/>
      <w:u w:val="none"/>
    </w:rPr>
  </w:style>
  <w:style w:type="character" w:styleId="9">
    <w:name w:val="Emphasis"/>
    <w:basedOn w:val="6"/>
    <w:qFormat/>
    <w:uiPriority w:val="20"/>
    <w:rPr>
      <w:sz w:val="24"/>
      <w:szCs w:val="24"/>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customStyle="1" w:styleId="11">
    <w:name w:val="页眉 Char"/>
    <w:basedOn w:val="6"/>
    <w:link w:val="3"/>
    <w:semiHidden/>
    <w:qFormat/>
    <w:uiPriority w:val="99"/>
    <w:rPr>
      <w:sz w:val="18"/>
      <w:szCs w:val="18"/>
    </w:rPr>
  </w:style>
  <w:style w:type="character" w:customStyle="1" w:styleId="12">
    <w:name w:val="页脚 Char"/>
    <w:basedOn w:val="6"/>
    <w:link w:val="2"/>
    <w:semiHidden/>
    <w:qFormat/>
    <w:uiPriority w:val="99"/>
    <w:rPr>
      <w:sz w:val="18"/>
      <w:szCs w:val="18"/>
    </w:rPr>
  </w:style>
  <w:style w:type="character" w:customStyle="1" w:styleId="13">
    <w:name w:val="before1"/>
    <w:basedOn w:val="6"/>
    <w:qFormat/>
    <w:uiPriority w:val="0"/>
    <w:rPr>
      <w:bdr w:val="single" w:color="0466C7" w:sz="36" w:space="0"/>
    </w:rPr>
  </w:style>
  <w:style w:type="character" w:customStyle="1" w:styleId="14">
    <w:name w:val="bsharetext"/>
    <w:basedOn w:val="6"/>
    <w:qFormat/>
    <w:uiPriority w:val="0"/>
  </w:style>
  <w:style w:type="character" w:customStyle="1" w:styleId="15">
    <w:name w:val="font71"/>
    <w:basedOn w:val="6"/>
    <w:qFormat/>
    <w:uiPriority w:val="0"/>
    <w:rPr>
      <w:rFonts w:hint="default" w:ascii="Times New Roman" w:hAnsi="Times New Roman" w:cs="Times New Roman"/>
      <w:color w:val="000000"/>
      <w:sz w:val="20"/>
      <w:szCs w:val="20"/>
      <w:u w:val="none"/>
    </w:rPr>
  </w:style>
  <w:style w:type="character" w:customStyle="1" w:styleId="16">
    <w:name w:val="font81"/>
    <w:basedOn w:val="6"/>
    <w:qFormat/>
    <w:uiPriority w:val="0"/>
    <w:rPr>
      <w:rFonts w:hint="eastAsia" w:ascii="宋体" w:hAnsi="宋体" w:eastAsia="宋体" w:cs="宋体"/>
      <w:color w:val="000000"/>
      <w:sz w:val="20"/>
      <w:szCs w:val="20"/>
      <w:u w:val="none"/>
    </w:rPr>
  </w:style>
  <w:style w:type="character" w:customStyle="1" w:styleId="17">
    <w:name w:val="before"/>
    <w:basedOn w:val="6"/>
    <w:qFormat/>
    <w:uiPriority w:val="0"/>
    <w:rPr>
      <w:bdr w:val="single" w:color="0466C7" w:sz="36" w:space="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5</TotalTime>
  <ScaleCrop>false</ScaleCrop>
  <LinksUpToDate>false</LinksUpToDate>
  <CharactersWithSpaces>4156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2021-06-08T03:20:50Z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DD5A911D54F34B90A82FD2977BC8D1EF</vt:lpwstr>
  </property>
</Properties>
</file>