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b w:val="0"/>
          <w:bCs w:val="0"/>
          <w:i w:val="0"/>
          <w:iCs w:val="0"/>
          <w:caps w:val="0"/>
          <w:color w:val="auto"/>
          <w:spacing w:val="0"/>
          <w:sz w:val="44"/>
          <w:szCs w:val="44"/>
          <w:shd w:val="clear" w:fill="FFFFFF"/>
        </w:rPr>
      </w:pPr>
      <w:r>
        <w:rPr>
          <w:rFonts w:ascii="微软雅黑" w:hAnsi="微软雅黑" w:eastAsia="微软雅黑" w:cs="微软雅黑"/>
          <w:b w:val="0"/>
          <w:bCs w:val="0"/>
          <w:i w:val="0"/>
          <w:iCs w:val="0"/>
          <w:caps w:val="0"/>
          <w:color w:val="auto"/>
          <w:spacing w:val="0"/>
          <w:sz w:val="45"/>
          <w:szCs w:val="45"/>
          <w:shd w:val="clear" w:fill="FFFFFF"/>
        </w:rPr>
        <w:t xml:space="preserve">共青团沅江市委员会2019 </w:t>
      </w:r>
      <w:bookmarkStart w:id="0" w:name="_GoBack"/>
      <w:bookmarkEnd w:id="0"/>
      <w:r>
        <w:rPr>
          <w:rFonts w:ascii="微软雅黑" w:hAnsi="微软雅黑" w:eastAsia="微软雅黑" w:cs="微软雅黑"/>
          <w:b w:val="0"/>
          <w:bCs w:val="0"/>
          <w:i w:val="0"/>
          <w:iCs w:val="0"/>
          <w:caps w:val="0"/>
          <w:color w:val="auto"/>
          <w:spacing w:val="0"/>
          <w:sz w:val="45"/>
          <w:szCs w:val="45"/>
          <w:shd w:val="clear" w:fill="FFFFFF"/>
        </w:rPr>
        <w:t>年度决算情况说明及公示表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44"/>
          <w:szCs w:val="44"/>
          <w:shd w:val="clear" w:fill="FFFFFF"/>
        </w:rPr>
        <w:t>目</w:t>
      </w:r>
      <w:r>
        <w:rPr>
          <w:rFonts w:ascii="方正小标宋_GBK" w:hAnsi="方正小标宋_GBK" w:eastAsia="方正小标宋_GBK" w:cs="方正小标宋_GBK"/>
          <w:i w:val="0"/>
          <w:iCs w:val="0"/>
          <w:caps w:val="0"/>
          <w:color w:val="333333"/>
          <w:spacing w:val="0"/>
          <w:sz w:val="44"/>
          <w:szCs w:val="44"/>
          <w:shd w:val="clear" w:fill="FFFFFF"/>
        </w:rPr>
        <w:t> </w:t>
      </w:r>
      <w:r>
        <w:rPr>
          <w:rFonts w:hint="eastAsia" w:ascii="宋体" w:hAnsi="宋体" w:eastAsia="宋体" w:cs="宋体"/>
          <w:i w:val="0"/>
          <w:iCs w:val="0"/>
          <w:caps w:val="0"/>
          <w:color w:val="333333"/>
          <w:spacing w:val="0"/>
          <w:sz w:val="44"/>
          <w:szCs w:val="44"/>
          <w:shd w:val="clear" w:fill="FFFFFF"/>
        </w:rPr>
        <w:t>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第一部分 共青团沅江市委员会概况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第二部分 共青团沅江市委员会2019年度部门决算表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八、政府性基金预算财政拨款收入支出决算表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第三部分共青团沅江市委员会2019年度部门决算情况说明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七、政府性基金预算财政拨款支出决算情况说明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八、一般公共预算财政拨款“三公”经费支出决算情况说明</w:t>
      </w:r>
      <w:r>
        <w:rPr>
          <w:rFonts w:hint="eastAsia" w:ascii="黑体" w:hAnsi="宋体" w:eastAsia="黑体" w:cs="黑体"/>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44"/>
          <w:szCs w:val="44"/>
          <w:shd w:val="clear" w:fill="FFFFFF"/>
        </w:rPr>
        <w:t>第一部分共青团沅江市委员会概况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95" w:right="0" w:firstLine="4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共青团沅江市委主要职能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（一）围绕中共沅江市委工作中心，动员、组织全市各级团组织和广大团员青年积极投身两个文明建设，发挥突击队、生力军作用，在改革开放和现代化建设中建功立业。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（二）负责团组织建设，指导团员发展和团干培训工作，协同镇场街道及市直单位党组织管理同级团委。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（三）抓好“推优”工作，发现和培养各类青年人才，并积极向党政组织和各类管理岗位推荐、输送。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（四）负责青年思想政治工作，搞好调查研究，及时掌握青年思想动态，为上级领导决策提供参考依据。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（五）组织“青年志愿者”、“青年文明号”活动，开展健康有益的青年文化、体育活动、寓教育于活动中、提高青年的思想、文化、道德素养。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（六）开展争当“青年岗位能手”和“农村青年致富带头人”活动，培养合格的劳动大军。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（七）指导、协调学校共青团工作。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（八）指导青年联合会工作，做好青年统一战线对象的团结教育工作。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（九）发现、培养、宣传青年典型，组织“双红双优”、“五四青年奖章”、“向上向善好青年”评选活动，树立青年学习榜样。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（十）完成市委和上级团委交办的其他工作。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95" w:right="0" w:hanging="795"/>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共青团沅江市委员会是全市各级团的领导机关，为正科级，由中共沅江市委领导。根据编委核定，共青团沅江市委员会内设本级机构1个。团市委机关行政编制5名，事业编制3名。设书记1名（正科级领导职数），副书记2名（副科级领导职数），内设机构均设正职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95" w:right="0" w:hanging="795"/>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从决算单位构成看，共青团沅江市委员会决算包括：共青团沅江市委员会</w:t>
      </w:r>
    </w:p>
    <w:tbl>
      <w:tblPr>
        <w:tblStyle w:val="3"/>
        <w:tblW w:w="0" w:type="auto"/>
        <w:tblInd w:w="98" w:type="dxa"/>
        <w:shd w:val="clear" w:color="auto" w:fill="FFFFFF"/>
        <w:tblLayout w:type="autofit"/>
        <w:tblCellMar>
          <w:top w:w="0" w:type="dxa"/>
          <w:left w:w="0" w:type="dxa"/>
          <w:bottom w:w="0" w:type="dxa"/>
          <w:right w:w="0" w:type="dxa"/>
        </w:tblCellMar>
      </w:tblPr>
      <w:tblGrid>
        <w:gridCol w:w="2216"/>
        <w:gridCol w:w="6208"/>
      </w:tblGrid>
      <w:tr>
        <w:tblPrEx>
          <w:tblCellMar>
            <w:top w:w="0" w:type="dxa"/>
            <w:left w:w="0" w:type="dxa"/>
            <w:bottom w:w="0" w:type="dxa"/>
            <w:right w:w="0" w:type="dxa"/>
          </w:tblCellMar>
        </w:tblPrEx>
        <w:trPr>
          <w:trHeight w:val="1" w:hRule="atLeast"/>
        </w:trPr>
        <w:tc>
          <w:tcPr>
            <w:tcW w:w="223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序号</w:t>
            </w:r>
          </w:p>
        </w:tc>
        <w:tc>
          <w:tcPr>
            <w:tcW w:w="628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单位名称</w:t>
            </w:r>
          </w:p>
        </w:tc>
      </w:tr>
      <w:tr>
        <w:tblPrEx>
          <w:tblCellMar>
            <w:top w:w="0" w:type="dxa"/>
            <w:left w:w="0" w:type="dxa"/>
            <w:bottom w:w="0" w:type="dxa"/>
            <w:right w:w="0" w:type="dxa"/>
          </w:tblCellMar>
        </w:tblPrEx>
        <w:trPr>
          <w:trHeight w:val="1" w:hRule="atLeast"/>
        </w:trPr>
        <w:tc>
          <w:tcPr>
            <w:tcW w:w="223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1</w:t>
            </w:r>
          </w:p>
        </w:tc>
        <w:tc>
          <w:tcPr>
            <w:tcW w:w="6287"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宋体" w:hAnsi="宋体" w:eastAsia="宋体" w:cs="宋体"/>
                <w:i w:val="0"/>
                <w:iCs w:val="0"/>
                <w:caps w:val="0"/>
                <w:color w:val="333333"/>
                <w:spacing w:val="0"/>
                <w:sz w:val="22"/>
                <w:szCs w:val="22"/>
              </w:rPr>
              <w:t>共青团沅江市委员会</w:t>
            </w:r>
          </w:p>
        </w:tc>
      </w:tr>
      <w:tr>
        <w:tblPrEx>
          <w:tblCellMar>
            <w:top w:w="0" w:type="dxa"/>
            <w:left w:w="0" w:type="dxa"/>
            <w:bottom w:w="0" w:type="dxa"/>
            <w:right w:w="0" w:type="dxa"/>
          </w:tblCellMar>
        </w:tblPrEx>
        <w:trPr>
          <w:trHeight w:val="1" w:hRule="atLeast"/>
        </w:trPr>
        <w:tc>
          <w:tcPr>
            <w:tcW w:w="223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2</w:t>
            </w:r>
          </w:p>
        </w:tc>
        <w:tc>
          <w:tcPr>
            <w:tcW w:w="6287"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宋体" w:hAnsi="宋体" w:eastAsia="宋体" w:cs="宋体"/>
                <w:i w:val="0"/>
                <w:iCs w:val="0"/>
                <w:caps w:val="0"/>
                <w:color w:val="333333"/>
                <w:spacing w:val="0"/>
                <w:sz w:val="22"/>
                <w:szCs w:val="22"/>
              </w:rPr>
              <w:t> </w:t>
            </w:r>
          </w:p>
        </w:tc>
      </w:tr>
      <w:tr>
        <w:tblPrEx>
          <w:tblCellMar>
            <w:top w:w="0" w:type="dxa"/>
            <w:left w:w="0" w:type="dxa"/>
            <w:bottom w:w="0" w:type="dxa"/>
            <w:right w:w="0" w:type="dxa"/>
          </w:tblCellMar>
        </w:tblPrEx>
        <w:trPr>
          <w:trHeight w:val="1" w:hRule="atLeast"/>
        </w:trPr>
        <w:tc>
          <w:tcPr>
            <w:tcW w:w="223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3</w:t>
            </w:r>
          </w:p>
        </w:tc>
        <w:tc>
          <w:tcPr>
            <w:tcW w:w="6287"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宋体" w:hAnsi="宋体" w:eastAsia="宋体" w:cs="宋体"/>
                <w:i w:val="0"/>
                <w:iCs w:val="0"/>
                <w:caps w:val="0"/>
                <w:color w:val="333333"/>
                <w:spacing w:val="0"/>
                <w:sz w:val="22"/>
                <w:szCs w:val="22"/>
              </w:rPr>
              <w:t> </w:t>
            </w:r>
          </w:p>
        </w:tc>
      </w:tr>
      <w:tr>
        <w:tblPrEx>
          <w:tblCellMar>
            <w:top w:w="0" w:type="dxa"/>
            <w:left w:w="0" w:type="dxa"/>
            <w:bottom w:w="0" w:type="dxa"/>
            <w:right w:w="0" w:type="dxa"/>
          </w:tblCellMar>
        </w:tblPrEx>
        <w:trPr>
          <w:trHeight w:val="1" w:hRule="atLeast"/>
        </w:trPr>
        <w:tc>
          <w:tcPr>
            <w:tcW w:w="223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4</w:t>
            </w:r>
          </w:p>
        </w:tc>
        <w:tc>
          <w:tcPr>
            <w:tcW w:w="6287"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宋体" w:hAnsi="宋体" w:eastAsia="宋体" w:cs="宋体"/>
                <w:i w:val="0"/>
                <w:iCs w:val="0"/>
                <w:caps w:val="0"/>
                <w:color w:val="333333"/>
                <w:spacing w:val="0"/>
                <w:sz w:val="22"/>
                <w:szCs w:val="22"/>
              </w:rPr>
              <w:t> </w:t>
            </w:r>
          </w:p>
        </w:tc>
      </w:tr>
      <w:tr>
        <w:tblPrEx>
          <w:tblCellMar>
            <w:top w:w="0" w:type="dxa"/>
            <w:left w:w="0" w:type="dxa"/>
            <w:bottom w:w="0" w:type="dxa"/>
            <w:right w:w="0" w:type="dxa"/>
          </w:tblCellMar>
        </w:tblPrEx>
        <w:trPr>
          <w:trHeight w:val="1" w:hRule="atLeast"/>
        </w:trPr>
        <w:tc>
          <w:tcPr>
            <w:tcW w:w="223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5</w:t>
            </w:r>
          </w:p>
        </w:tc>
        <w:tc>
          <w:tcPr>
            <w:tcW w:w="6287"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宋体" w:hAnsi="宋体" w:eastAsia="宋体" w:cs="宋体"/>
                <w:i w:val="0"/>
                <w:iCs w:val="0"/>
                <w:caps w:val="0"/>
                <w:color w:val="333333"/>
                <w:spacing w:val="0"/>
                <w:sz w:val="22"/>
                <w:szCs w:val="22"/>
              </w:rPr>
              <w:t> </w:t>
            </w:r>
          </w:p>
        </w:tc>
      </w:tr>
      <w:tr>
        <w:tblPrEx>
          <w:tblCellMar>
            <w:top w:w="0" w:type="dxa"/>
            <w:left w:w="0" w:type="dxa"/>
            <w:bottom w:w="0" w:type="dxa"/>
            <w:right w:w="0" w:type="dxa"/>
          </w:tblCellMar>
        </w:tblPrEx>
        <w:trPr>
          <w:trHeight w:val="1" w:hRule="atLeast"/>
        </w:trPr>
        <w:tc>
          <w:tcPr>
            <w:tcW w:w="223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eastAsia" w:ascii="仿宋" w:hAnsi="仿宋" w:eastAsia="仿宋" w:cs="仿宋"/>
                <w:b/>
                <w:bCs/>
                <w:i w:val="0"/>
                <w:iCs w:val="0"/>
                <w:caps w:val="0"/>
                <w:color w:val="333333"/>
                <w:spacing w:val="0"/>
                <w:sz w:val="28"/>
                <w:szCs w:val="28"/>
              </w:rPr>
              <w:t>6</w:t>
            </w:r>
          </w:p>
        </w:tc>
        <w:tc>
          <w:tcPr>
            <w:tcW w:w="6287"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宋体" w:hAnsi="宋体" w:eastAsia="宋体" w:cs="宋体"/>
                <w:i w:val="0"/>
                <w:iCs w:val="0"/>
                <w:caps w:val="0"/>
                <w:color w:val="333333"/>
                <w:spacing w:val="0"/>
                <w:sz w:val="22"/>
                <w:szCs w:val="22"/>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44"/>
          <w:szCs w:val="44"/>
          <w:shd w:val="clear" w:fill="FFFFFF"/>
        </w:rPr>
        <w:t>第二部分共青团委员会2019 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表1：收入支出决算总表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表2：收入决算表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表3：支出决算表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表4：财政拨款收入支出决算总表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表5：一般公共预算财政拨款支出决算表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表6：一般公共预算财政拨款基本支出决算表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表7：一般公共预算财政拨款“三公”经费支出决算表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表8：政府性基金预算财政拨款收入支出决算表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44"/>
          <w:szCs w:val="44"/>
          <w:shd w:val="clear" w:fill="FFFFFF"/>
        </w:rPr>
        <w:t>第三部分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44"/>
          <w:szCs w:val="44"/>
          <w:shd w:val="clear" w:fill="FFFFFF"/>
        </w:rPr>
        <w:t>共青团沅江市委员会2019年度部门决算情况说明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一、关于共青团沅江市委员会2019年度收入支出决算总体情况说明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共青团沅江市委员会2019年度收入总计221.96万元（含结转结余），比上年同期增加76.67万元，增长52.7%，支出总计192万元，比上年同期增加87.03万元，增长82.9%。主要原因：人员经费及项目增加，费用支出增加，财政拨款收入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20" w:right="0" w:firstLine="42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二、关于共青团沅江市委员会2019年度收入决算情况说明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2019年度收入合计166.69万元，其中：财政拨款收入148.28万元，占66.8%；其他收入18.41 万元,占8.3%。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720" w:right="0" w:firstLine="42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三、关于共青团沅江市委2019年度支出决算情况说明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2019年度支出合计192.26万元，其中：基本支出37.8万元，占 20%；项目支出154.46万元，占80%。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四、关于共青团沅江市委员会2019 年度财政拨款收入支出决算总体情况说明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2019 年度财政拨款收入总计195.55万元，比上年同期增加90.58万元，增长86%；财政拨款支出总计165.85万元，比上年同期增加60.88万元，增长58%，结转结余29.7万元。主要原因：人员经费及项目增加，费用支出增加，财政拨款收入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五、关于共青团沅江市委员会2019年度一般公共预算财政拨款收入支出决算情况说明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（一）一般公共预算财政拨款收入支出决算总体情况。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 年度一般公共预算财政拨款收入总计148.28万元，比上年同期增加48.98万元，增长49%；一般公共预算财政拨款支出总计165.85万元，比上年同期增加60.88万元，增长58%。主要原因：项目支出增加，财政拨款收入增多。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（二）一般公共预算财政拨款支出决算构成情况。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共青团沅江市委员会2019年一般公共预算财政支出165.85万元：其中一般公共服务支出 163.46万元，占98.5%，住房保障支出2.39万元，占1.5%。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（三）一般公共预算财政拨款支出决算具体情况。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2019年度财政拨款支出年初预算为165.85万，支出决算为192.26万元，完成年初预算的115.9%。支出决算大于年初预算的主要原因是：业务增多，项目支出增多。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六、关于共青团沅江市委员会2019年度一般公共预算财政拨款基本支出决算情况说明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2019年度一般公共预算财政拨款基本支出165.85万元，其中人员经费支出 37.8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项目支出 128.05万元。主要包括：青年联合会换届经费、辩论赛、青少年发展专项，乡镇大团委建设、少代会工作项目、护河行动、团干培训、团代会项目、义工志愿者工作经费等项目。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七、共青团沅江市委员会2019 年度政府性基金预算财政拨款支出决算情况说明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2019年本单位没有使用政府性基金预算拨款安排的支出。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八、关于共青团沅江市委2019 年度一般公共预算财政拨款“三公”经费支出决算情况说明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（一）“三公”经费财政拨款支出决算总体情况说明。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2019年度“三公”经费财政拨款支出预算为0万元，支出决算为0.07万元。2019 年度“三公”经费支出决算数大于预算数的主要原因：因上级部门来沅调研，公务接待费用增加。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2019 年度“三公”经费财政拨款支出决算为0</w:t>
      </w:r>
      <w:r>
        <w:rPr>
          <w:rFonts w:hint="eastAsia" w:ascii="仿宋" w:hAnsi="仿宋" w:eastAsia="仿宋" w:cs="仿宋"/>
          <w:i w:val="0"/>
          <w:iCs w:val="0"/>
          <w:caps w:val="0"/>
          <w:color w:val="333333"/>
          <w:spacing w:val="0"/>
          <w:sz w:val="32"/>
          <w:szCs w:val="32"/>
          <w:shd w:val="clear" w:fill="FFFFFF"/>
          <w:lang w:val="en-US" w:eastAsia="zh-CN"/>
        </w:rPr>
        <w:t>.07</w:t>
      </w:r>
      <w:r>
        <w:rPr>
          <w:rFonts w:hint="eastAsia" w:ascii="仿宋" w:hAnsi="仿宋" w:eastAsia="仿宋" w:cs="仿宋"/>
          <w:i w:val="0"/>
          <w:iCs w:val="0"/>
          <w:caps w:val="0"/>
          <w:color w:val="333333"/>
          <w:spacing w:val="0"/>
          <w:sz w:val="32"/>
          <w:szCs w:val="32"/>
          <w:shd w:val="clear" w:fill="FFFFFF"/>
        </w:rPr>
        <w:t>万元，2019年接待1次，人数为5人。2019 年度“三公”经费支出决算数大于上年决算数的主要原因：因上级部门来沅调研，公务接待费用增加。</w:t>
      </w:r>
      <w:r>
        <w:rPr>
          <w:rFonts w:hint="eastAsia" w:ascii="仿宋" w:hAnsi="仿宋" w:eastAsia="仿宋" w:cs="仿宋"/>
          <w:i w:val="0"/>
          <w:iCs w:val="0"/>
          <w:caps w:val="0"/>
          <w:color w:val="333333"/>
          <w:spacing w:val="0"/>
          <w:sz w:val="32"/>
          <w:szCs w:val="32"/>
          <w:shd w:val="clear" w:fill="FFFFFF"/>
          <w:lang w:val="en-US" w:eastAsia="zh-CN"/>
        </w:rPr>
        <w:t>公</w:t>
      </w:r>
      <w:r>
        <w:rPr>
          <w:rFonts w:hint="eastAsia" w:ascii="仿宋" w:hAnsi="仿宋" w:eastAsia="仿宋" w:cs="仿宋"/>
          <w:i w:val="0"/>
          <w:iCs w:val="0"/>
          <w:caps w:val="0"/>
          <w:color w:val="333333"/>
          <w:spacing w:val="0"/>
          <w:sz w:val="32"/>
          <w:szCs w:val="32"/>
          <w:shd w:val="clear" w:fill="FFFFFF"/>
        </w:rPr>
        <w:t>务用车购置及运行维护费完成0元，比上年增减0元，增加下降0%，增减变化的主要原因是：无公车。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（三）政府采购支出情况。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本单位2019年度政府采购无实际采购。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本单位年末无车辆，本单位无价值50万元以上通用设备，无单价100万正以上专用设备。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44"/>
          <w:szCs w:val="44"/>
          <w:shd w:val="clear" w:fill="FFFFFF"/>
        </w:rPr>
        <w:t>第四部分</w:t>
      </w:r>
      <w:r>
        <w:rPr>
          <w:rFonts w:hint="eastAsia" w:ascii="方正小标宋_GBK" w:hAnsi="方正小标宋_GBK" w:eastAsia="方正小标宋_GBK" w:cs="方正小标宋_GBK"/>
          <w:i w:val="0"/>
          <w:iCs w:val="0"/>
          <w:caps w:val="0"/>
          <w:color w:val="333333"/>
          <w:spacing w:val="0"/>
          <w:sz w:val="44"/>
          <w:szCs w:val="44"/>
          <w:shd w:val="clear" w:fill="FFFFFF"/>
        </w:rPr>
        <w:t> </w:t>
      </w:r>
      <w:r>
        <w:rPr>
          <w:rFonts w:hint="eastAsia" w:ascii="宋体" w:hAnsi="宋体" w:eastAsia="宋体" w:cs="宋体"/>
          <w:i w:val="0"/>
          <w:iCs w:val="0"/>
          <w:caps w:val="0"/>
          <w:color w:val="333333"/>
          <w:spacing w:val="0"/>
          <w:sz w:val="44"/>
          <w:szCs w:val="44"/>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一、财政拨款收入：</w:t>
      </w:r>
      <w:r>
        <w:rPr>
          <w:rFonts w:hint="eastAsia" w:ascii="仿宋" w:hAnsi="仿宋" w:eastAsia="仿宋" w:cs="仿宋"/>
          <w:i w:val="0"/>
          <w:iCs w:val="0"/>
          <w:caps w:val="0"/>
          <w:color w:val="333333"/>
          <w:spacing w:val="0"/>
          <w:sz w:val="32"/>
          <w:szCs w:val="32"/>
          <w:shd w:val="clear" w:fill="FFFFFF"/>
        </w:rPr>
        <w:t>指中央财政当年拨付的资金。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二、事业收入：</w:t>
      </w:r>
      <w:r>
        <w:rPr>
          <w:rFonts w:hint="eastAsia" w:ascii="仿宋" w:hAnsi="仿宋" w:eastAsia="仿宋" w:cs="仿宋"/>
          <w:i w:val="0"/>
          <w:iCs w:val="0"/>
          <w:caps w:val="0"/>
          <w:color w:val="333333"/>
          <w:spacing w:val="0"/>
          <w:sz w:val="32"/>
          <w:szCs w:val="32"/>
          <w:shd w:val="clear" w:fill="FFFFFF"/>
        </w:rPr>
        <w:t>指事业单位开展专业业务活动及辅助活动所取得的收入。如：中国财政杂志社的刊物发行收入，中国注册会计师协会、中国资产评估协会、中国国债协会、中国会计学会收取的会费收入等。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三、经营收入：</w:t>
      </w:r>
      <w:r>
        <w:rPr>
          <w:rFonts w:hint="eastAsia" w:ascii="仿宋" w:hAnsi="仿宋" w:eastAsia="仿宋" w:cs="仿宋"/>
          <w:i w:val="0"/>
          <w:iCs w:val="0"/>
          <w:caps w:val="0"/>
          <w:color w:val="333333"/>
          <w:spacing w:val="0"/>
          <w:sz w:val="32"/>
          <w:szCs w:val="32"/>
          <w:shd w:val="clear" w:fill="FFFFFF"/>
        </w:rPr>
        <w:t>指事业单位在专业业务活动及其辅助活动之外开展非独立核算经营活动取得的收入。如：中国财政杂志社广告收入等。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四、其他收入：</w:t>
      </w:r>
      <w:r>
        <w:rPr>
          <w:rFonts w:hint="eastAsia" w:ascii="仿宋" w:hAnsi="仿宋" w:eastAsia="仿宋" w:cs="仿宋"/>
          <w:i w:val="0"/>
          <w:iCs w:val="0"/>
          <w:caps w:val="0"/>
          <w:color w:val="333333"/>
          <w:spacing w:val="0"/>
          <w:sz w:val="32"/>
          <w:szCs w:val="32"/>
          <w:shd w:val="clear" w:fill="FFFFFF"/>
        </w:rPr>
        <w:t>指除上述“财政拨款收入” 、 “事业收入” 、“经营收入”等以外的收入。主要是按规定动用的售房收入、存款利息收入等。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五、用事业基金弥补收支差额：</w:t>
      </w:r>
      <w:r>
        <w:rPr>
          <w:rFonts w:hint="eastAsia" w:ascii="仿宋" w:hAnsi="仿宋" w:eastAsia="仿宋" w:cs="仿宋"/>
          <w:i w:val="0"/>
          <w:iCs w:val="0"/>
          <w:caps w:val="0"/>
          <w:color w:val="333333"/>
          <w:spacing w:val="0"/>
          <w:sz w:val="32"/>
          <w:szCs w:val="32"/>
          <w:shd w:val="clear" w:fill="FFFFFF"/>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六、年初结转和结余：</w:t>
      </w:r>
      <w:r>
        <w:rPr>
          <w:rFonts w:hint="eastAsia" w:ascii="仿宋" w:hAnsi="仿宋" w:eastAsia="仿宋" w:cs="仿宋"/>
          <w:i w:val="0"/>
          <w:iCs w:val="0"/>
          <w:caps w:val="0"/>
          <w:color w:val="333333"/>
          <w:spacing w:val="0"/>
          <w:sz w:val="32"/>
          <w:szCs w:val="32"/>
          <w:shd w:val="clear" w:fill="FFFFFF"/>
        </w:rPr>
        <w:t>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七、结余分配：</w:t>
      </w:r>
      <w:r>
        <w:rPr>
          <w:rFonts w:hint="eastAsia" w:ascii="仿宋" w:hAnsi="仿宋" w:eastAsia="仿宋" w:cs="仿宋"/>
          <w:i w:val="0"/>
          <w:iCs w:val="0"/>
          <w:caps w:val="0"/>
          <w:color w:val="333333"/>
          <w:spacing w:val="0"/>
          <w:sz w:val="32"/>
          <w:szCs w:val="32"/>
          <w:shd w:val="clear" w:fill="FFFFFF"/>
        </w:rPr>
        <w:t>指事业单位按规定提取的职工福利基金、事业基金和缴纳的所得税，以及建设单位按规定应交回的基本建设竣工项目结余资金。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八、年末结转和结余：</w:t>
      </w:r>
      <w:r>
        <w:rPr>
          <w:rFonts w:hint="eastAsia" w:ascii="仿宋" w:hAnsi="仿宋" w:eastAsia="仿宋" w:cs="仿宋"/>
          <w:i w:val="0"/>
          <w:iCs w:val="0"/>
          <w:caps w:val="0"/>
          <w:color w:val="333333"/>
          <w:spacing w:val="0"/>
          <w:sz w:val="32"/>
          <w:szCs w:val="32"/>
          <w:shd w:val="clear" w:fill="FFFFFF"/>
        </w:rPr>
        <w:t>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九、基本支出：</w:t>
      </w:r>
      <w:r>
        <w:rPr>
          <w:rFonts w:hint="eastAsia" w:ascii="仿宋" w:hAnsi="仿宋" w:eastAsia="仿宋" w:cs="仿宋"/>
          <w:i w:val="0"/>
          <w:iCs w:val="0"/>
          <w:caps w:val="0"/>
          <w:color w:val="333333"/>
          <w:spacing w:val="0"/>
          <w:sz w:val="32"/>
          <w:szCs w:val="32"/>
          <w:shd w:val="clear" w:fill="FFFFFF"/>
        </w:rPr>
        <w:t>指为保障机构正常运转、完成日常工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十、项目支出：</w:t>
      </w:r>
      <w:r>
        <w:rPr>
          <w:rFonts w:hint="eastAsia" w:ascii="仿宋" w:hAnsi="仿宋" w:eastAsia="仿宋" w:cs="仿宋"/>
          <w:i w:val="0"/>
          <w:iCs w:val="0"/>
          <w:caps w:val="0"/>
          <w:color w:val="333333"/>
          <w:spacing w:val="0"/>
          <w:sz w:val="32"/>
          <w:szCs w:val="32"/>
          <w:shd w:val="clear"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十一、经营支出：</w:t>
      </w:r>
      <w:r>
        <w:rPr>
          <w:rFonts w:hint="eastAsia" w:ascii="仿宋" w:hAnsi="仿宋" w:eastAsia="仿宋" w:cs="仿宋"/>
          <w:i w:val="0"/>
          <w:iCs w:val="0"/>
          <w:caps w:val="0"/>
          <w:color w:val="333333"/>
          <w:spacing w:val="0"/>
          <w:sz w:val="32"/>
          <w:szCs w:val="32"/>
          <w:shd w:val="clear" w:fill="FFFFFF"/>
        </w:rPr>
        <w:t>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十二、“三公”经费：</w:t>
      </w:r>
      <w:r>
        <w:rPr>
          <w:rFonts w:hint="eastAsia" w:ascii="仿宋" w:hAnsi="仿宋" w:eastAsia="仿宋" w:cs="仿宋"/>
          <w:i w:val="0"/>
          <w:iCs w:val="0"/>
          <w:caps w:val="0"/>
          <w:color w:val="333333"/>
          <w:spacing w:val="0"/>
          <w:sz w:val="32"/>
          <w:szCs w:val="32"/>
          <w:shd w:val="clear" w:fill="FFFFFF"/>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十三、机关运行经费：</w:t>
      </w:r>
      <w:r>
        <w:rPr>
          <w:rFonts w:hint="eastAsia" w:ascii="仿宋" w:hAnsi="仿宋" w:eastAsia="仿宋" w:cs="仿宋"/>
          <w:i w:val="0"/>
          <w:iCs w:val="0"/>
          <w:caps w:val="0"/>
          <w:color w:val="333333"/>
          <w:spacing w:val="0"/>
          <w:sz w:val="32"/>
          <w:szCs w:val="32"/>
          <w:shd w:val="clear" w:fill="FFFFFF"/>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C2DB7"/>
    <w:rsid w:val="476C2DB7"/>
    <w:rsid w:val="60591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2021-06-08T07:16:00Z</dcterms:created>
  <dc:creator>BOSS</dc:creator>
  <cp:lastModifiedBy>BOSS</cp:lastModifiedBy>
  <dcterms:modified xsi:type="dcterms:W3CDTF">2021-06-08T08:54:59Z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04BFDB4EFAFD41B79D6A40DC1ADEDF0B</vt:lpwstr>
  </property>
</Properties>
</file>