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center"/>
        <w:rPr>
          <w:rFonts w:ascii="微软雅黑" w:hAnsi="微软雅黑" w:eastAsia="微软雅黑" w:cs="微软雅黑"/>
          <w:i w:val="0"/>
          <w:caps w:val="0"/>
          <w:color w:val="333333"/>
          <w:spacing w:val="0"/>
          <w:sz w:val="24"/>
          <w:szCs w:val="24"/>
        </w:rPr>
      </w:pPr>
      <w:bookmarkStart w:id="0" w:name="_GoBack"/>
      <w:r>
        <w:rPr>
          <w:rFonts w:ascii="黑体" w:hAnsi="宋体" w:eastAsia="黑体" w:cs="黑体"/>
          <w:i w:val="0"/>
          <w:caps w:val="0"/>
          <w:color w:val="333333"/>
          <w:spacing w:val="0"/>
          <w:kern w:val="0"/>
          <w:sz w:val="44"/>
          <w:szCs w:val="44"/>
          <w:shd w:val="clear" w:fill="FFFFFF"/>
          <w:lang w:val="en-US" w:eastAsia="zh-CN" w:bidi="ar"/>
        </w:rPr>
        <w:t>沅江市统计局201</w:t>
      </w:r>
      <w:r>
        <w:rPr>
          <w:rFonts w:hint="eastAsia" w:ascii="黑体" w:hAnsi="宋体" w:eastAsia="黑体" w:cs="黑体"/>
          <w:i w:val="0"/>
          <w:caps w:val="0"/>
          <w:color w:val="333333"/>
          <w:spacing w:val="0"/>
          <w:kern w:val="0"/>
          <w:sz w:val="44"/>
          <w:szCs w:val="44"/>
          <w:shd w:val="clear" w:fill="FFFFFF"/>
          <w:lang w:val="en-US" w:eastAsia="zh-CN" w:bidi="ar"/>
        </w:rPr>
        <w:t>9年部门决算说明</w:t>
      </w:r>
    </w:p>
    <w:bookmarkEnd w:id="0"/>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shd w:val="clear" w:fill="FFFFFF"/>
        </w:rPr>
        <w:t>第一部分 沅江市统计局概况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shd w:val="clear" w:fill="FFFFFF"/>
        </w:rPr>
        <w:t>一、基本情况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ascii="仿宋" w:hAnsi="仿宋" w:eastAsia="仿宋" w:cs="仿宋"/>
          <w:i w:val="0"/>
          <w:caps w:val="0"/>
          <w:color w:val="333333"/>
          <w:spacing w:val="0"/>
          <w:sz w:val="32"/>
          <w:szCs w:val="32"/>
          <w:shd w:val="clear" w:fill="FFFFFF"/>
        </w:rPr>
        <w:t>1</w:t>
      </w:r>
      <w:r>
        <w:rPr>
          <w:rFonts w:hint="eastAsia" w:ascii="仿宋" w:hAnsi="仿宋" w:eastAsia="仿宋" w:cs="仿宋"/>
          <w:i w:val="0"/>
          <w:caps w:val="0"/>
          <w:color w:val="333333"/>
          <w:spacing w:val="0"/>
          <w:sz w:val="32"/>
          <w:szCs w:val="32"/>
          <w:shd w:val="clear" w:fill="FFFFFF"/>
        </w:rPr>
        <w:t>、主要职能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（1）贯彻执行统计工作的法律、法规和政策；检查监督统计法规的实施情况，对全市统计单位进行督查，查处各类统计违法行为；研究统计制度和统计方法改革；完成国家统计调查任务。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（2）负责全市国民经济和社会发展的调查、统计和分析；制定全市统计工作计划、统计调查方案并组织实施。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（3）完成全国、全省性的各类普查任务、专项调查任务和抽样调查任务。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（4）为市委、市人民政府决策提供依据；编制国民经济和社会发展情况；进行统计分析、统计调研、统计检查和监督；向市委、市人民政府及其有关部门提供统计信息和咨询建议。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（5）统计核定、管理、公布全市经济、社会、科技的基本统计资料；定期发布全市国民经济和社会发展情况统计公报及有关普查和专项调查公报；发布社会经济统计信息。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（6）执行统计法规，并实施检查监督；维护统计部门和统计工作者的合法权利，查处各种违反统计法规的行为。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（7）管理或代为管理城市、农村、企业调查队和普查中心，组织协调全市城市、农村、企业调查工作和各项普查工作。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（8）负责全市统计基础工作建设；组织指导全市统计宣传、统计教育、统计职称和统计人员培训工作。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（9）承办市委、市人民政府及上级业务部门交办的其他事项。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2、机构情况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我局根据2019年的编办三定方案，设置办公室、人事股、法规检查股、综合统计股、经济统计股。下设普查中心、城乡经济调查队两个二级机构。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3、人员情况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我局共有编制数26人，其中行政编8人，工勤编1人，事业编17人。年末实有人数36人，其中在职人员22人，退休人员14人。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shd w:val="clear" w:fill="FFFFFF"/>
        </w:rPr>
        <w:t>二、部门预算单位构成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沅江市统计局单位部门决算包括：沅江市统计局本级部门决算。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shd w:val="clear" w:fill="FFFFFF"/>
        </w:rPr>
        <w:t>第二部分 沅江市统计局2019年度部门决算表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表1：收入支出决算批复表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表2：收入决算批复表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表3：支出决算批复表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表4：财政拨款收入支出决算批复表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表5：一般公共预算财政拨款支出决算批复表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表6：一般公共预算财政拨款基本支出决算批复表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表7：一般公共预算财政拨款“三公”经费支出决算批复表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表8：政府性基金预算财政拨款收入支出决算批复表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（具体表格详见附表）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638" w:right="0" w:firstLine="420"/>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638" w:right="0" w:firstLine="420"/>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shd w:val="clear" w:fill="FFFFFF"/>
        </w:rPr>
        <w:t>第三部分 沅江市统计局2018年度部门决算情况说明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shd w:val="clear" w:fill="FFFFFF"/>
        </w:rPr>
        <w:t>一、收入支出决算总体情况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2019年度收、支总计512.53万元(含结转结余)。与2018年相比，增加34.92万元，增长7.31%。主要原因：人员经费及统计业务经费收入、支出增加。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本年收入合计442.71万元，其中：财政拨款收入435.71万元，占本年收入的98.42%；其他收入7万元，占本年收入的1.58%。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本年支出合计471.11万元，其中：基本支出233.78万元，占本年支出的49.62%；项目支出237.32万元，占本年支出的50.38%。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2019年度财政拨款收、支总计498.45万元(含结转结余)，与2018年相比,增加44.86万元，增长9.89%，主要原因：人员经费及统计业务经费收入、支出增加。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（一）一般公共预算财政拨款收入支出决算总体情况。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2019年度一般公共预算财政拨款收入总计435.71万元，与2018年相比，财政拨款收入增加11.75万元，增长2.77%。主要原因：1、人员经费增加，包括绩效考核奖金上涨，工资调资等；2、统计专项经费增加，包括住户调查电子记账流量费用、四经普两员补贴经费等财政拨款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一般公共预算财政拨款支出总计463.98万元，与2018年相比，财政拨款支出增加52.49万元，增长12.76%。主要原因：1、单位人员经费开支增加；2、项目支出中设备购置费用，经普两员补贴、抽样调查辅调员工资增加。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（二）一般公共预算财政拨款支出总体情况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2019年度一般公共预算财政拨款支出463.98万元，占本年支出合计的98.49%。与2018年度相比，财政拨款支出增长12.76%。主要原因是:人员经费及统计业务经费支出增加。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（三）一般公共预算财政拨款支出决算结构情况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一般公共预算拨款支出463.98万元，主要用于以下方面：一般公共服务支出448.93万元，占96.76%；住房保障支出15.05万元，占3.24%。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（四）一般公共预算财政拨款支出决算具体情况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2019年度一般公共预算财政拨款支出年初预算为312.95万元，支出决算为463.98万元，完成年初预算的148.26%。其中：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1、一般公共服务支出（类）统计信息事务（款）行政运行（项）。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年初预算为171.10万元，支出决算为218.73万元，完成年初预算的127.84%，决算数大于年初预算数的主要原因是年中追加基本工资提标和绩效奖励等人员支出。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2、一般公共服务支出（类）统计信息事务（款）一般行政管理事务（项）。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年初预算为28万元，支出决算为36.39万元，完成年初预算的129.96%，决算数大于年初预算数的主要原因是年中追加和支出了住户调查电子记账流量费用。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3、一般公共服务支出（类）统计信息事务（款）专项统计业务（项）。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年初预算为26.6万元，支出决算为83.36万元，完成年初预算的313.38%，决算数大于年初预算数的主要原因是年中追加和支出了四经普“两员”补贴经费。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4、一般公共服务支出（类）统计信息事务（款）专项普查活动（项）。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年初预算为50万元，支出决算为72.39万元，完成年初预算的144.78%。决算数大于年初预算数的主要原因是上年结转资金结转本年。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5、一般公共服务支出（类）统计信息事务（款）统计抽样调查（项）。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年初预算为22.2万元，支出决算为38.05万元，完成年初预算的171.40%，决算数大于年初预算数的主要原因是年中追加和支出了统计年报印刷经费。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6、住房保障支出（类）住房改革支出（款）住房公积金（项）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年初预算为15.05万元，支出决算为15.05万元，完成年初预算的100%。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沅江市统计局2019年度一般公共预算财政拨款基本支出233.78万元。其中: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人员经费226.99万元，主要包括：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公用经费6.79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shd w:val="clear" w:fill="FFFFFF"/>
        </w:rPr>
        <w:t>七、一般公共预算财政拨款“三公”经费决算情况说明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（一）“三公”经费财政拨款支出决算总体情况说明。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2019年度“三公”经费财政拨款支出预算数为0.8万元，支出决算数为1.37万元,完成预算的171.25%，决算数大于预算数的主要原因是：因第四次经济普查，上级统计部门来沅检查工作及乡镇统计人员来我局上报数据、集中改错次数较多，公务接待费用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（二）“三公”经费财政拨款支出决算具体情况说明。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2019年度“三公”经费财政拨款支出决算中，公务接待费决算数为1.37万元，占100%。全年共公务接待30批次152人次。2019年“三公”经费决算比2018年增加0.22万元，其中公务接待费比上年增加0.22万元。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shd w:val="clear" w:fill="FFFFFF"/>
        </w:rPr>
        <w:t>八、政府性基金预算收入支出决算情况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638" w:right="0" w:firstLine="42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2019年本单位没有使用政府性基金预算拨款安排的支出。</w:t>
      </w:r>
      <w:r>
        <w:rPr>
          <w:rFonts w:hint="eastAsia" w:ascii="黑体" w:hAnsi="宋体" w:eastAsia="黑体" w:cs="黑体"/>
          <w:i w:val="0"/>
          <w:caps w:val="0"/>
          <w:color w:val="333333"/>
          <w:spacing w:val="0"/>
          <w:sz w:val="32"/>
          <w:szCs w:val="32"/>
          <w:shd w:val="clear" w:fill="FFFFFF"/>
        </w:rPr>
        <w:t>九、预算绩效情况说明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（一）绩效管理工作开展情况。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根据财政预算管理要求，沅江市统计局组织开展了2019年度部门整体支出绩效自评工作，并对项目中的第四次经济普查专项资金开展了绩效自评。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从评价情况来看，我单位2019年度整体支出绩效评价得分为93分，自评结论为"优"。项目与目前政策相符,项目立项规范、合理，资金到位及时、使用合规、监控有效，工作及财务管理制度健全、执行有效、项目质量可控，项目实际支出没有超预算，达到了预定的目标。项目的实施对我单位做好履职的服务工作起到了充分保障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（二）部门决算中项目绩效自评结果。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第四次全国经济普查项目绩效自评综述：2019年经济普查专项经费收入合计50万元，其中本级财政预算收入50万元。上年年末结转22.41万元。2019年经济普查专项经费支出合计72.41万元，年末无结余。预算完成率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主要产出和效果：1.普查登记准备工作“三到位”。（1）人员、设备等准备到位。普查登记阶段人员安排上紧紧衔接清查阶段队伍，人员基本无变动。沿用三农普PAD设备245台，新增PAD设备100台。（2）普查员、普查指导员培训到位。一是组织普查员和指导员参加了益阳市统计局主办、我市统计局承办的四经普综合业务培训会，学习经普各类报表填报、地图改错、底册导入、PAD操作培训等；二是组织了行政事业单位四经普报表填报培训，分发了经普宣传册、报表手册等资料。三是参加了部分乡镇组织的经普培训，深入一线基层，培训村、社区普查员。（3）物资、普查表等发放到位。全市共发放经普一封信32900份，经普告知书3840份、各类经普非一套表报表21428份、宣传画1696份、普查手册548份，充分做好入户前的宣传准备工作。2、通力协作，强力推进普查登记工作。从2019年1月1日起，全市各级普查员开始进行入户登记工作。我市普查登记的单位共有单位6905个，其中一套表单位298个，上报率100%；非一套表单位6185个，上报率88.64%。普查登记个体户共3188户，上报率99.84%。所有的法人和产业单位中，非一套企业法人4495个，行政事业单位597个，民间非营利组织312个。3、四级联审改错，促进普查数据质量提升。在省、市经普办的统一指挥下，我市经普办、乡镇经普办积极参与经普数据审核数据处理工作。市经普办派经普骨干力量赴益阳参加集中审核，平时通过电话询问、集中改错等多种方式加班加点核实上级反馈查询核实类错误。2019年4月15日-16日，召开了沅江市经济普查数据审核培训会，通报了登记工作中存在的问题，集中开展了普查表审核纠错。各个专业人员密切配合经普办审核查询工作，确保每个查询核实到位。4.开展了入户登记阶段工作督查。2019年2月25日至27日，市经普办分四组开展了对各镇场街道普查登记督查工作。5月10日，市经普办对新湾、南嘴、草尾镇经普入户登记工作进行了质量抽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2019年，我市第四次经济普查工作取得了决定性胜利。对摸清我市第二、三产业的发展规模、布局和效益，了解我市产业组织、产业结构、产业技术、产业形态的现状以及各生产要素的构成，提供了科学准确的统计信息支持。根据年初设定的绩效目标，项目自评得分96分，自评结论为“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（三）以部门为主体开展的重点绩效评价结果。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   </w:t>
      </w:r>
      <w:r>
        <w:rPr>
          <w:rFonts w:hint="eastAsia" w:ascii="仿宋" w:hAnsi="仿宋" w:eastAsia="仿宋" w:cs="仿宋"/>
          <w:i w:val="0"/>
          <w:caps w:val="0"/>
          <w:color w:val="333333"/>
          <w:spacing w:val="0"/>
          <w:sz w:val="32"/>
          <w:szCs w:val="32"/>
          <w:shd w:val="clear" w:fill="FFFFFF"/>
        </w:rPr>
        <w:t> 2019年度我单位未开展以重点项目为目标的绩效评价工作，无绩效评价相关信息。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shd w:val="clear" w:fill="FFFFFF"/>
        </w:rPr>
        <w:t>十、其他重要事项情况说明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640" w:right="0" w:firstLine="0"/>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（一）预决算收支增减变化情况。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2019年本单位年初预算收入312.95万元，比上年增加56.43万元，增长22%，其中：一般公共预算财政拨款收入年初预算312.95万元，比上年增加56.43万元。年度执行过程中，因单位人数变动及单位事权调整，收入决算数调整为442.71万元，其中一般公共预算财政拨款收入决算数435.71万元，其他收入决算数7万元。调整原因：1、人员经费增加，包括绩效考核奖金上涨，工资调资等；2、增加四经普两员补贴费70万元，住户调查电子记账流量费10万元。3、预算内省级财政拨款基层统计经费8万元、粮食抽样调查经费9.54万元、2017年结转一般行政管理事务经费5万元；4、特设专户收益阳国调队拨款7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2019年本单位年初预算支出312.95万元，比上年增加56.43万元，增长22%。其中：基本支出年初预算208.15万元；项目支出年初预算104.8万元。年度执行过程中，支出决算数调整为471.11万元。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（二）机关（事业）运行经费支出情况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2019年沅江市统计局机关（事业）运行经费财政拨款决算6.79万元。比2018年减少4.54万元。主要原因是：工会经费减少。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（三）政府采购支出情情况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本年度政府采购无实际采购额。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（三）国有资产占有情况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本单位年末无车辆。年末无单价50万元以上通用设备。年末无单价100万元以上通用设备。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shd w:val="clear" w:fill="FFFFFF"/>
        </w:rPr>
        <w:t>第四部分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一、财政拨款收入：</w:t>
      </w:r>
      <w:r>
        <w:rPr>
          <w:rFonts w:hint="eastAsia" w:ascii="仿宋" w:hAnsi="仿宋" w:eastAsia="仿宋" w:cs="仿宋"/>
          <w:i w:val="0"/>
          <w:caps w:val="0"/>
          <w:color w:val="333333"/>
          <w:spacing w:val="0"/>
          <w:sz w:val="32"/>
          <w:szCs w:val="32"/>
          <w:shd w:val="clear" w:fill="FFFFFF"/>
        </w:rPr>
        <w:t>指本级财政当年拨付的资金。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二、其他收入：</w:t>
      </w:r>
      <w:r>
        <w:rPr>
          <w:rFonts w:hint="eastAsia" w:ascii="仿宋" w:hAnsi="仿宋" w:eastAsia="仿宋" w:cs="仿宋"/>
          <w:i w:val="0"/>
          <w:caps w:val="0"/>
          <w:color w:val="333333"/>
          <w:spacing w:val="0"/>
          <w:sz w:val="32"/>
          <w:szCs w:val="32"/>
          <w:shd w:val="clear" w:fill="FFFFFF"/>
        </w:rPr>
        <w:t>指除上述“财政拨款收入”、“上级补助收入”、“事业收入”、“经营收入”、“附属单位上缴收入”等以外的收入。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三、上年结转和结余：</w:t>
      </w:r>
      <w:r>
        <w:rPr>
          <w:rFonts w:hint="eastAsia" w:ascii="仿宋" w:hAnsi="仿宋" w:eastAsia="仿宋" w:cs="仿宋"/>
          <w:i w:val="0"/>
          <w:caps w:val="0"/>
          <w:color w:val="333333"/>
          <w:spacing w:val="0"/>
          <w:sz w:val="32"/>
          <w:szCs w:val="32"/>
          <w:shd w:val="clear" w:fill="FFFFFF"/>
        </w:rPr>
        <w:t>指以前年度尚未完成、结转到本年按有关规定继续使用的资金。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四、年末结转和结余资金：</w:t>
      </w:r>
      <w:r>
        <w:rPr>
          <w:rFonts w:hint="eastAsia" w:ascii="仿宋" w:hAnsi="仿宋" w:eastAsia="仿宋" w:cs="仿宋"/>
          <w:i w:val="0"/>
          <w:caps w:val="0"/>
          <w:color w:val="333333"/>
          <w:spacing w:val="0"/>
          <w:sz w:val="32"/>
          <w:szCs w:val="32"/>
          <w:shd w:val="clear" w:fill="FFFFFF"/>
        </w:rPr>
        <w:t>指本年度或以前年度预算安排、因客观条件发生变化无法按原计划实施，需要延迟到以后年度按有关规定继续使用的资金。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五、一般公共服务支出（类）：</w:t>
      </w:r>
      <w:r>
        <w:rPr>
          <w:rFonts w:hint="eastAsia" w:ascii="仿宋" w:hAnsi="仿宋" w:eastAsia="仿宋" w:cs="仿宋"/>
          <w:i w:val="0"/>
          <w:caps w:val="0"/>
          <w:color w:val="333333"/>
          <w:spacing w:val="0"/>
          <w:sz w:val="32"/>
          <w:szCs w:val="32"/>
          <w:shd w:val="clear" w:fill="FFFFFF"/>
        </w:rPr>
        <w:t>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六、住房保障支出（类）：</w:t>
      </w:r>
      <w:r>
        <w:rPr>
          <w:rFonts w:hint="eastAsia" w:ascii="仿宋" w:hAnsi="仿宋" w:eastAsia="仿宋" w:cs="仿宋"/>
          <w:i w:val="0"/>
          <w:caps w:val="0"/>
          <w:color w:val="333333"/>
          <w:spacing w:val="0"/>
          <w:sz w:val="32"/>
          <w:szCs w:val="32"/>
          <w:shd w:val="clear" w:fill="FFFFFF"/>
        </w:rPr>
        <w:t>是指用于住房方面的支出，包括保障机构正常运转、完成日常和特定的工作任务或事业发展目标的支出。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七、基本支出：</w:t>
      </w:r>
      <w:r>
        <w:rPr>
          <w:rFonts w:hint="eastAsia" w:ascii="仿宋" w:hAnsi="仿宋" w:eastAsia="仿宋" w:cs="仿宋"/>
          <w:i w:val="0"/>
          <w:caps w:val="0"/>
          <w:color w:val="333333"/>
          <w:spacing w:val="0"/>
          <w:sz w:val="32"/>
          <w:szCs w:val="32"/>
          <w:shd w:val="clear" w:fill="FFFFFF"/>
        </w:rPr>
        <w:t>指保障机构正常运转、完成支日常工作任务而发生的人员支出和公用支出。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八、项目支出：</w:t>
      </w:r>
      <w:r>
        <w:rPr>
          <w:rFonts w:hint="eastAsia" w:ascii="仿宋" w:hAnsi="仿宋" w:eastAsia="仿宋" w:cs="仿宋"/>
          <w:i w:val="0"/>
          <w:caps w:val="0"/>
          <w:color w:val="333333"/>
          <w:spacing w:val="0"/>
          <w:sz w:val="32"/>
          <w:szCs w:val="32"/>
          <w:shd w:val="clear" w:fill="FFFFFF"/>
        </w:rPr>
        <w:t>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九、“三公”经费：</w:t>
      </w:r>
      <w:r>
        <w:rPr>
          <w:rFonts w:hint="eastAsia" w:ascii="仿宋" w:hAnsi="仿宋" w:eastAsia="仿宋" w:cs="仿宋"/>
          <w:i w:val="0"/>
          <w:caps w:val="0"/>
          <w:color w:val="333333"/>
          <w:spacing w:val="0"/>
          <w:sz w:val="32"/>
          <w:szCs w:val="32"/>
          <w:shd w:val="clear"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十、工资福利支出：</w:t>
      </w:r>
      <w:r>
        <w:rPr>
          <w:rFonts w:hint="eastAsia" w:ascii="仿宋" w:hAnsi="仿宋" w:eastAsia="仿宋" w:cs="仿宋"/>
          <w:i w:val="0"/>
          <w:caps w:val="0"/>
          <w:color w:val="333333"/>
          <w:spacing w:val="0"/>
          <w:sz w:val="32"/>
          <w:szCs w:val="32"/>
          <w:shd w:val="clear" w:fill="FFFFFF"/>
        </w:rPr>
        <w:t>反映单位开支的在职职工和编制外长期聘用人员的各类劳动报酬，以及为上述人员缴纳的各项社会保险费等。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十一、基本工资：</w:t>
      </w:r>
      <w:r>
        <w:rPr>
          <w:rFonts w:hint="eastAsia" w:ascii="仿宋" w:hAnsi="仿宋" w:eastAsia="仿宋" w:cs="仿宋"/>
          <w:i w:val="0"/>
          <w:caps w:val="0"/>
          <w:color w:val="333333"/>
          <w:spacing w:val="0"/>
          <w:sz w:val="32"/>
          <w:szCs w:val="32"/>
          <w:shd w:val="clear" w:fill="FFFFFF"/>
        </w:rPr>
        <w:t>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十二、津贴补贴：</w:t>
      </w:r>
      <w:r>
        <w:rPr>
          <w:rFonts w:hint="eastAsia" w:ascii="仿宋" w:hAnsi="仿宋" w:eastAsia="仿宋" w:cs="仿宋"/>
          <w:i w:val="0"/>
          <w:caps w:val="0"/>
          <w:color w:val="333333"/>
          <w:spacing w:val="0"/>
          <w:sz w:val="32"/>
          <w:szCs w:val="32"/>
          <w:shd w:val="clear" w:fill="FFFFFF"/>
        </w:rPr>
        <w:t>反映经国家批准建立的机关事业单位艰苦边远地区津贴、机关工作人员地区附加津贴、机关工作人员岗位津贴、事业单位工作人员特殊岗位津贴补贴等。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十三、奖金：</w:t>
      </w:r>
      <w:r>
        <w:rPr>
          <w:rFonts w:hint="eastAsia" w:ascii="仿宋" w:hAnsi="仿宋" w:eastAsia="仿宋" w:cs="仿宋"/>
          <w:i w:val="0"/>
          <w:caps w:val="0"/>
          <w:color w:val="333333"/>
          <w:spacing w:val="0"/>
          <w:sz w:val="32"/>
          <w:szCs w:val="32"/>
          <w:shd w:val="clear" w:fill="FFFFFF"/>
        </w:rPr>
        <w:t>反映机关工作人员年终一次性奖金。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机关事业单位基本养老保险缴费：反映机关事业单位缴纳的基本养老保险费。由单位代扣的工作人员基本养老保险缴费，不在此科目反映。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十四、职业年金缴费：</w:t>
      </w:r>
      <w:r>
        <w:rPr>
          <w:rFonts w:hint="eastAsia" w:ascii="仿宋" w:hAnsi="仿宋" w:eastAsia="仿宋" w:cs="仿宋"/>
          <w:i w:val="0"/>
          <w:caps w:val="0"/>
          <w:color w:val="333333"/>
          <w:spacing w:val="0"/>
          <w:sz w:val="32"/>
          <w:szCs w:val="32"/>
          <w:shd w:val="clear" w:fill="FFFFFF"/>
        </w:rPr>
        <w:t>反映机关事业单位实际缴纳的职业年金支出。由单位代扣的工作人员职业年金缴费，不在此科目反映。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十五、职工基本医疗保险缴费：</w:t>
      </w:r>
      <w:r>
        <w:rPr>
          <w:rFonts w:hint="eastAsia" w:ascii="仿宋" w:hAnsi="仿宋" w:eastAsia="仿宋" w:cs="仿宋"/>
          <w:i w:val="0"/>
          <w:caps w:val="0"/>
          <w:color w:val="333333"/>
          <w:spacing w:val="0"/>
          <w:sz w:val="32"/>
          <w:szCs w:val="32"/>
          <w:shd w:val="clear" w:fill="FFFFFF"/>
        </w:rPr>
        <w:t>反映单位为职工缴纳的基本医疗保险费。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十六、其他社会保障缴费：</w:t>
      </w:r>
      <w:r>
        <w:rPr>
          <w:rFonts w:hint="eastAsia" w:ascii="仿宋" w:hAnsi="仿宋" w:eastAsia="仿宋" w:cs="仿宋"/>
          <w:i w:val="0"/>
          <w:caps w:val="0"/>
          <w:color w:val="333333"/>
          <w:spacing w:val="0"/>
          <w:sz w:val="32"/>
          <w:szCs w:val="32"/>
          <w:shd w:val="clear" w:fill="FFFFFF"/>
        </w:rPr>
        <w:t>反映单位为职工缴纳的基本医疗、失业、工伤、生育等社会保险费，残疾人就业保障金，军队（含武警）为军人缴纳的伤亡、退役医疗等社会保险费。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十七、住房公积金：</w:t>
      </w:r>
      <w:r>
        <w:rPr>
          <w:rFonts w:hint="eastAsia" w:ascii="仿宋" w:hAnsi="仿宋" w:eastAsia="仿宋" w:cs="仿宋"/>
          <w:i w:val="0"/>
          <w:caps w:val="0"/>
          <w:color w:val="333333"/>
          <w:spacing w:val="0"/>
          <w:sz w:val="32"/>
          <w:szCs w:val="32"/>
          <w:shd w:val="clear" w:fill="FFFFFF"/>
        </w:rPr>
        <w:t>反映行政事业单位按人力资源和社会保障部、财政部规定的基本工资和津贴补贴以及规定比例为职工缴纳的住房公积金。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十八、商品和服务支出：</w:t>
      </w:r>
      <w:r>
        <w:rPr>
          <w:rFonts w:hint="eastAsia" w:ascii="仿宋" w:hAnsi="仿宋" w:eastAsia="仿宋" w:cs="仿宋"/>
          <w:i w:val="0"/>
          <w:caps w:val="0"/>
          <w:color w:val="333333"/>
          <w:spacing w:val="0"/>
          <w:sz w:val="32"/>
          <w:szCs w:val="32"/>
          <w:shd w:val="clear" w:fill="FFFFFF"/>
        </w:rPr>
        <w:t>反映单位购买商品和服务的支出（不包括用于购置固定资产的支出、战略性和应急储备支出）。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十九、工会经费：</w:t>
      </w:r>
      <w:r>
        <w:rPr>
          <w:rFonts w:hint="eastAsia" w:ascii="仿宋" w:hAnsi="仿宋" w:eastAsia="仿宋" w:cs="仿宋"/>
          <w:i w:val="0"/>
          <w:caps w:val="0"/>
          <w:color w:val="333333"/>
          <w:spacing w:val="0"/>
          <w:sz w:val="32"/>
          <w:szCs w:val="32"/>
          <w:shd w:val="clear" w:fill="FFFFFF"/>
        </w:rPr>
        <w:t>反映单位按规定提取的工会经费。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二十、对个人和家庭的补助：</w:t>
      </w:r>
      <w:r>
        <w:rPr>
          <w:rFonts w:hint="eastAsia" w:ascii="仿宋" w:hAnsi="仿宋" w:eastAsia="仿宋" w:cs="仿宋"/>
          <w:i w:val="0"/>
          <w:caps w:val="0"/>
          <w:color w:val="333333"/>
          <w:spacing w:val="0"/>
          <w:sz w:val="32"/>
          <w:szCs w:val="32"/>
          <w:shd w:val="clear" w:fill="FFFFFF"/>
        </w:rPr>
        <w:t>反映政府用于对个人和家庭的补助支出。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二十一、生活补助：</w:t>
      </w:r>
      <w:r>
        <w:rPr>
          <w:rFonts w:hint="eastAsia" w:ascii="仿宋" w:hAnsi="仿宋" w:eastAsia="仿宋" w:cs="仿宋"/>
          <w:i w:val="0"/>
          <w:caps w:val="0"/>
          <w:color w:val="333333"/>
          <w:spacing w:val="0"/>
          <w:sz w:val="32"/>
          <w:szCs w:val="32"/>
          <w:shd w:val="clear" w:fill="FFFFFF"/>
        </w:rPr>
        <w:t>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二十二、奖励金：</w:t>
      </w:r>
      <w:r>
        <w:rPr>
          <w:rFonts w:hint="eastAsia" w:ascii="仿宋" w:hAnsi="仿宋" w:eastAsia="仿宋" w:cs="仿宋"/>
          <w:i w:val="0"/>
          <w:caps w:val="0"/>
          <w:color w:val="333333"/>
          <w:spacing w:val="0"/>
          <w:sz w:val="32"/>
          <w:szCs w:val="32"/>
          <w:shd w:val="clear" w:fill="FFFFFF"/>
        </w:rPr>
        <w:t>反映政府各部门的奖励支出，如对个体私营经济的奖励、计划生育目标责任奖励、独生子女父母奖励等。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default" w:ascii="Times New Roman" w:hAnsi="Times New Roman" w:cs="Times New Roman"/>
          <w:sz w:val="21"/>
          <w:szCs w:val="21"/>
        </w:rPr>
      </w:pPr>
      <w:r>
        <w:rPr>
          <w:rFonts w:hint="eastAsia" w:ascii="仿宋" w:hAnsi="仿宋" w:eastAsia="仿宋" w:cs="仿宋"/>
          <w:b/>
          <w:i w:val="0"/>
          <w:caps w:val="0"/>
          <w:color w:val="333333"/>
          <w:spacing w:val="0"/>
          <w:sz w:val="32"/>
          <w:szCs w:val="32"/>
          <w:shd w:val="clear" w:fill="FFFFFF"/>
        </w:rPr>
        <w:t>二十三、其他对个人和家庭的补助支出：</w:t>
      </w:r>
      <w:r>
        <w:rPr>
          <w:rFonts w:hint="eastAsia" w:ascii="仿宋" w:hAnsi="仿宋" w:eastAsia="仿宋" w:cs="仿宋"/>
          <w:i w:val="0"/>
          <w:caps w:val="0"/>
          <w:color w:val="333333"/>
          <w:spacing w:val="0"/>
          <w:sz w:val="32"/>
          <w:szCs w:val="32"/>
          <w:shd w:val="clear" w:fill="FFFFFF"/>
        </w:rPr>
        <w:t>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shd w:val="clear" w:fill="FFFFFF"/>
        </w:rPr>
        <w:t>第五部分 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shd w:val="clear" w:fill="FFFFFF"/>
        </w:rPr>
        <w:t>附件：沅江市统计局2019年度部门决算批复表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F415D"/>
    <w:rsid w:val="407C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2020-09-29T21:34:00Z</dcterms:created>
  <dc:creator>Administrator</dc:creator>
  <cp:lastModifiedBy>冷子菁</cp:lastModifiedBy>
  <dcterms:modified xsi:type="dcterms:W3CDTF">2021-06-04T07:24:18Z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