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40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华文中宋" w:eastAsia="华文中宋" w:hAnsi="华文中宋" w:cs="Calibri" w:hint="eastAsia"/>
          <w:color w:val="000000"/>
          <w:sz w:val="36"/>
          <w:szCs w:val="36"/>
        </w:rPr>
        <w:t>湖南省2019年度部门决算分析报告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40" w:lineRule="atLeast"/>
        <w:jc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华文中宋" w:eastAsia="华文中宋" w:hAnsi="华文中宋" w:cs="Calibri" w:hint="eastAsia"/>
          <w:color w:val="000000"/>
          <w:sz w:val="36"/>
          <w:szCs w:val="36"/>
        </w:rPr>
        <w:t>（</w:t>
      </w:r>
      <w:r>
        <w:rPr>
          <w:rFonts w:ascii="方正小标宋简体" w:eastAsia="方正小标宋简体" w:hAnsi="Calibri" w:cs="Calibri" w:hint="eastAsia"/>
          <w:b/>
          <w:bCs/>
          <w:color w:val="000000"/>
          <w:sz w:val="40"/>
          <w:szCs w:val="40"/>
        </w:rPr>
        <w:t>沅江市法律援助中心</w:t>
      </w:r>
      <w:r>
        <w:rPr>
          <w:rFonts w:ascii="华文中宋" w:eastAsia="华文中宋" w:hAnsi="华文中宋" w:cs="Calibri" w:hint="eastAsia"/>
          <w:color w:val="000000"/>
          <w:sz w:val="36"/>
          <w:szCs w:val="36"/>
        </w:rPr>
        <w:t>）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4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 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eastAsia="黑体" w:hAnsi="黑体" w:cs="Calibri" w:hint="eastAsia"/>
          <w:color w:val="000000"/>
          <w:sz w:val="32"/>
          <w:szCs w:val="32"/>
        </w:rPr>
        <w:t>一、部门（单位）情况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000000"/>
          <w:sz w:val="32"/>
          <w:szCs w:val="32"/>
        </w:rPr>
        <w:t>（一）基本情况。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1．主要职能。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</w:rPr>
      </w:pPr>
      <w:r>
        <w:rPr>
          <w:rFonts w:ascii="仿宋" w:eastAsia="仿宋" w:hAnsi="仿宋" w:cs="Calibri" w:hint="eastAsia"/>
          <w:color w:val="000000"/>
          <w:sz w:val="32"/>
          <w:szCs w:val="32"/>
          <w:shd w:val="clear" w:color="auto" w:fill="FFFFFF"/>
        </w:rPr>
        <w:t xml:space="preserve">　　（一）组织、管理、协调、监督我市的法律援助工作；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</w:rPr>
      </w:pPr>
      <w:r>
        <w:rPr>
          <w:rFonts w:ascii="仿宋" w:eastAsia="仿宋" w:hAnsi="仿宋" w:cs="Calibri" w:hint="eastAsia"/>
          <w:color w:val="000000"/>
          <w:sz w:val="32"/>
          <w:szCs w:val="32"/>
          <w:shd w:val="clear" w:color="auto" w:fill="FFFFFF"/>
        </w:rPr>
        <w:t xml:space="preserve">　　（二）对公民申请法律援助事项进行初审，对符合法律援助条件的案件审批；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</w:rPr>
      </w:pPr>
      <w:r>
        <w:rPr>
          <w:rFonts w:ascii="仿宋" w:eastAsia="仿宋" w:hAnsi="仿宋" w:cs="Calibri" w:hint="eastAsia"/>
          <w:color w:val="000000"/>
          <w:sz w:val="32"/>
          <w:szCs w:val="32"/>
          <w:shd w:val="clear" w:color="auto" w:fill="FFFFFF"/>
        </w:rPr>
        <w:t xml:space="preserve">　　（三）解答法律咨询，代写法律文书；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</w:rPr>
      </w:pPr>
      <w:r>
        <w:rPr>
          <w:rFonts w:ascii="仿宋" w:eastAsia="仿宋" w:hAnsi="仿宋" w:cs="Calibri" w:hint="eastAsia"/>
          <w:color w:val="000000"/>
          <w:sz w:val="32"/>
          <w:szCs w:val="32"/>
          <w:shd w:val="clear" w:color="auto" w:fill="FFFFFF"/>
        </w:rPr>
        <w:t xml:space="preserve">　　（四）对重大、复杂、疑难和群体性的法律援助案件，及时上报市法律援助中心和市委和市政府；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</w:rPr>
      </w:pPr>
      <w:r>
        <w:rPr>
          <w:rFonts w:ascii="仿宋" w:eastAsia="仿宋" w:hAnsi="仿宋" w:cs="Calibri" w:hint="eastAsia"/>
          <w:color w:val="000000"/>
          <w:sz w:val="32"/>
          <w:szCs w:val="32"/>
          <w:shd w:val="clear" w:color="auto" w:fill="FFFFFF"/>
        </w:rPr>
        <w:t xml:space="preserve">　　（五）宣传法律援助制度；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rFonts w:ascii="Calibri" w:hAnsi="Calibri" w:cs="Calibri"/>
          <w:color w:val="000000"/>
        </w:rPr>
      </w:pPr>
      <w:r>
        <w:rPr>
          <w:rFonts w:ascii="仿宋" w:eastAsia="仿宋" w:hAnsi="仿宋" w:cs="Calibri" w:hint="eastAsia"/>
          <w:color w:val="000000"/>
          <w:sz w:val="32"/>
          <w:szCs w:val="32"/>
          <w:shd w:val="clear" w:color="auto" w:fill="FFFFFF"/>
        </w:rPr>
        <w:t xml:space="preserve">　　（六）负责收集并上报本市法律援助信息资料和统计工作等。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2．机构情况，2019年本单位法律援助中心组成。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lastRenderedPageBreak/>
        <w:t>3．人员情况。2019年本单位年未实有人数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7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人，比上年变动了（增加或减少）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人。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000000"/>
          <w:sz w:val="32"/>
          <w:szCs w:val="32"/>
        </w:rPr>
        <w:t>（二）当年取得的主要事业成效。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 xml:space="preserve">法援中心着力为农民工、残疾人、老年人、未成年人、妇女、军人军属、退役军人等特殊群体提供法律援助服务。　　　　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㈠、切实为农民工提供法律援助服务，免于经济审查，开辟绿色通道。今年年初，法援中心组织成立了农民工法律服务志愿团，组织律师和法律工作者积极开展农民工维权活动，派出宣传队下到工厂、企业，为农民工宣讲法律常识、维权措施和途径，针对实际中经常出现的不签劳动合同或只签一份合同留存于企业，解除劳动合同不办理相关手续，劳动任务完成后不办理结账手续等等情况，告知其采取相关应对措施，增强自我保护意识，及时寻求适合的救济途径，维护自身权益。“法援送温暖，助力农民工”活动的开展，受到了人民群众顿首称赞。今年我中心共办理农民工案件89 件。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㈡、尊重、关爱残疾人是我们义不容辞的责任，法援中心在市残联设立了法援工作站，双方安排专人负责对接，法援中心每周安排一名专业人员值班一天，负责咨询、预受理法援案件，再报法援中心决定，对残疾人申请的法援案件，无需经济困难证明，尽可能当天受理、当天指派，满足受援人的合理要求。今年，我衷心办理残疾人案件9件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lastRenderedPageBreak/>
        <w:t>㈢、尊老爱幼是我国的优良传统。对老年人、未成年人的咨询都是不厌其烦、答疑解惑，对其申请的法援案件，都是先行受理，再补办必要的委托手续。对必要的相关资料，一次性告知，写出清单尽可能让他们少跑路。充分体现了我们法援中心热情、细致、认真的服务态度和工作作风。今年8月份，我中心组织宣传队开展了“敬老月”法治宣传活动，深入三眼塘敬老院零距离、面对面就老年人关心的赡养、生活问题进行了理性和法律方面的宣传和讲解，获得了“大拇指”赞赏，对我们工作的肯定和认可，我们深感欣慰。今年我中心办理老年人案件30件，未成年人案件14件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㈣、根据《湖南省军人军属法律援助实施办法》的相关规定，我中心主动与沅江人武部联系，按要求对接工作，制作了规范的标识、标牌和办案流程图，并与当地军人事务局对接和联系，采取协调、协商处理的方式，解决退伍军人的安置及待遇问题，收到了当地政府的充分肯定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 xml:space="preserve">　　全省实行刑事辩护试点工作，沅江法援中心作为首批试点单位，积极开展工作，迅速与法院联系，在刑庭设立专门的刑事法援工作点，配备专门办公室，制定了相应的值班律师职责、工作制度和工作纪律。印制了工作台账，派专职律师实行全日制值班，并就值班待遇和法律帮助补贴标准与律师事务所签订合同。通过一年的实践，至此工作已得到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lastRenderedPageBreak/>
        <w:t>顺利、有序开展，刑事法援辩护案件从去年的27件增加到今年的116件。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eastAsia="黑体" w:hAnsi="黑体" w:cs="Calibri" w:hint="eastAsia"/>
          <w:color w:val="000000"/>
          <w:sz w:val="32"/>
          <w:szCs w:val="32"/>
        </w:rPr>
        <w:t>二、收入支出预算执行情况分析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000000"/>
          <w:sz w:val="32"/>
          <w:szCs w:val="32"/>
        </w:rPr>
        <w:t>（一）收入支出预算安排情况。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2019年，本部门年初预算收入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103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14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万元，增长(下降)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16.25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%,增减变化的主要原因是：。其中：一般公共预算财政拨款收入年初预算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103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14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万元；政府性基金预算财政拨款收入年初预算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万元；上级补助收入年初预算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万元；事业收入年初预算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万元；经营收入年初预算收入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万元；附属单位上缴收入年初预算收入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万元；其他收入年初预算收入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万元。年度执行中因单位人数变动及单位事权调整，预算跟随调整情况，主要变化是：收入调整预算数为135.6322万元，我单位2019年为全省刑事</w:t>
      </w:r>
      <w:proofErr w:type="gramStart"/>
      <w:r>
        <w:rPr>
          <w:rFonts w:ascii="仿宋" w:eastAsia="仿宋" w:hAnsi="仿宋" w:cs="Calibri" w:hint="eastAsia"/>
          <w:color w:val="000000"/>
          <w:sz w:val="32"/>
          <w:szCs w:val="32"/>
        </w:rPr>
        <w:t>辩护全</w:t>
      </w:r>
      <w:proofErr w:type="gramEnd"/>
      <w:r>
        <w:rPr>
          <w:rFonts w:ascii="仿宋" w:eastAsia="仿宋" w:hAnsi="仿宋" w:cs="Calibri" w:hint="eastAsia"/>
          <w:color w:val="000000"/>
          <w:sz w:val="32"/>
          <w:szCs w:val="32"/>
        </w:rPr>
        <w:t>覆盖的试点单位之一，从而刑事案件大幅增加由以前的20来件增加至119件较上年增加了近5倍。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2019年，本部门年初预算支出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103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14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万元，增长(下降)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16.25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%，增减变化的主要原因是：。其中：基本支出年初预算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68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5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万元，增长(下降)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%；项目支出年初预算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35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9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万元，增长(下降)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%。年度执行中因单位人数变动及单位事权调整，预算跟随调整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lastRenderedPageBreak/>
        <w:t>情况，主要变化是：案件数量大幅增加，需要发放的案件补贴也相应大幅增加。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000000"/>
          <w:sz w:val="32"/>
          <w:szCs w:val="32"/>
        </w:rPr>
        <w:t>（二）收入支出预算执行情况。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2019年收入实际完成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136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19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万元，增长(下降)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16.01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%。主要原因是：。其中：一般公共预算财政拨款收入完成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127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12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万元，增长(下降)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%，变化的主要原因是：案件数量大幅增加，需要发放的案件补贴也相应大幅增加；政府性基金财政拨款收入完成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万元，增长(下降)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%，无变化；上级补助收入完成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万元；事业收入完成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万元，增长(下降)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%，无变化；经营收入完成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万元,增长(下降)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%，变化的主要原因是：；附属单位上缴收入完成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万元；其他收入为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9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7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万元，增长(下降)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327.5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%，变化的主要原因是：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中央彩票案件补贴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2019年，本部门支出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142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34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万元，增长(下降)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31.64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%；变化的主要原因：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增加转移支付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。其中：基本支出完成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88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4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万元，增长(下降)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4.25%，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变化的主要原因：。项目支出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54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30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万元，增长(下降)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129.11%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；变化的主要原因：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增加转移支付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。人员经费完成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75万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万元，增长(下降)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0.84%，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变化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lastRenderedPageBreak/>
        <w:t>的主要原因：；公用经费完成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13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3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万元，增长(下降)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29.29%，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变化的主要原因：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工会经费增加。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b/>
          <w:bCs/>
          <w:color w:val="000000"/>
          <w:sz w:val="32"/>
          <w:szCs w:val="32"/>
        </w:rPr>
        <w:t>1．收入支出与预算对比分析。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与上年度对比情况，包括增减绝对值与幅度，增减变动主要原因：案件数量大幅增加，需要发放的案件补贴也相应大幅增加。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（1）预、决算差异情况，可分收入支出功能科目、分单位、</w:t>
      </w:r>
      <w:proofErr w:type="gramStart"/>
      <w:r>
        <w:rPr>
          <w:rFonts w:ascii="仿宋" w:eastAsia="仿宋" w:hAnsi="仿宋" w:cs="Calibri" w:hint="eastAsia"/>
          <w:color w:val="000000"/>
          <w:sz w:val="32"/>
          <w:szCs w:val="32"/>
        </w:rPr>
        <w:t>分收入</w:t>
      </w:r>
      <w:proofErr w:type="gramEnd"/>
      <w:r>
        <w:rPr>
          <w:rFonts w:ascii="仿宋" w:eastAsia="仿宋" w:hAnsi="仿宋" w:cs="Calibri" w:hint="eastAsia"/>
          <w:color w:val="000000"/>
          <w:sz w:val="32"/>
          <w:szCs w:val="32"/>
        </w:rPr>
        <w:t>支出具体项目逐项对比（可列表）。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（2）差异原因分析。差异较大的应分析到具体收入支出功能科目和具体单位。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b/>
          <w:bCs/>
          <w:color w:val="000000"/>
          <w:sz w:val="32"/>
          <w:szCs w:val="32"/>
        </w:rPr>
        <w:t>2．收入支出结构分析。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（1）各项收入占总收入的比重，各项支出占总支出的比重（可分别制作饼状图）。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（2）收入支出按部门所属单位分布情况（可列表）。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b/>
          <w:bCs/>
          <w:color w:val="000000"/>
          <w:sz w:val="32"/>
          <w:szCs w:val="32"/>
        </w:rPr>
        <w:t>3．支出按经济分类科目分析。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（1）</w:t>
      </w:r>
      <w:r>
        <w:rPr>
          <w:rFonts w:ascii="仿宋" w:eastAsia="仿宋" w:hAnsi="仿宋" w:cs="Calibri" w:hint="eastAsia"/>
          <w:b/>
          <w:bCs/>
          <w:color w:val="000000"/>
          <w:sz w:val="32"/>
          <w:szCs w:val="32"/>
        </w:rPr>
        <w:t>“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三公</w:t>
      </w:r>
      <w:r>
        <w:rPr>
          <w:rFonts w:ascii="仿宋" w:eastAsia="仿宋" w:hAnsi="仿宋" w:cs="Calibri" w:hint="eastAsia"/>
          <w:b/>
          <w:bCs/>
          <w:color w:val="000000"/>
          <w:sz w:val="32"/>
          <w:szCs w:val="32"/>
        </w:rPr>
        <w:t>”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经费支出情况：2019年，“三公”经费完成2,756元，比上年增减-1,012元，增加下降-26.86%，增减变化的主要原因是：缩减三公经费。其中：</w:t>
      </w:r>
      <w:r>
        <w:rPr>
          <w:rFonts w:ascii="仿宋" w:eastAsia="仿宋" w:hAnsi="仿宋" w:cs="Calibri" w:hint="eastAsia"/>
          <w:b/>
          <w:bCs/>
          <w:color w:val="000000"/>
          <w:sz w:val="32"/>
          <w:szCs w:val="32"/>
        </w:rPr>
        <w:t>因公出国（境）费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完成0元，比上年增减0元，增加下降0%，增减变化的主要原因是：；</w:t>
      </w:r>
      <w:r>
        <w:rPr>
          <w:rFonts w:ascii="仿宋" w:eastAsia="仿宋" w:hAnsi="仿宋" w:cs="Calibri" w:hint="eastAsia"/>
          <w:b/>
          <w:bCs/>
          <w:color w:val="000000"/>
          <w:sz w:val="32"/>
          <w:szCs w:val="32"/>
        </w:rPr>
        <w:t>公务接待费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完成2,756元，比上年增减-1,012元，增加下降-26.86%，增减变化的主要原因是：缩减三公经费；</w:t>
      </w:r>
      <w:r>
        <w:rPr>
          <w:rFonts w:ascii="仿宋" w:eastAsia="仿宋" w:hAnsi="仿宋" w:cs="Calibri" w:hint="eastAsia"/>
          <w:b/>
          <w:bCs/>
          <w:color w:val="000000"/>
          <w:sz w:val="32"/>
          <w:szCs w:val="32"/>
        </w:rPr>
        <w:t>公务用车购置及运行维护费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完成0元，比上年增减0元，增加下降0%。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lastRenderedPageBreak/>
        <w:t>（2）会议费支出情况：2019年会议费完成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5,046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-764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元，增加下降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-13.15%，增减变化的主要原因是：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（3）培训费支出情况：2019年培训费完成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4,056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36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元，增加下降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0.9%，增减变化的主要原因是：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（4）其他对部门（单位）影响较大的支出情况。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（5）重点经济分类支出中存在的问题及改进措施。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b/>
          <w:bCs/>
          <w:color w:val="000000"/>
          <w:sz w:val="32"/>
          <w:szCs w:val="32"/>
        </w:rPr>
        <w:t>4.财政拨款收入、支出分析。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分析财政拨款收入、支出总体情况，支出要按照基本支出和项目支出分析具体构成及特点。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000000"/>
          <w:sz w:val="32"/>
          <w:szCs w:val="32"/>
        </w:rPr>
        <w:t>（三）年末结转和结余情况。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2019年，本单位年末结转和结余资金84,830.84元，比上年增减-60,178.43元，增加下降-41.5%，增减变化的主要原因是：上年度专项今年支付。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根据资金性质其中：基本支出结转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元，比上年增加减少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元，增减下降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0%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;项目支出结转结余</w:t>
      </w:r>
      <w:r>
        <w:rPr>
          <w:rFonts w:hint="eastAsia"/>
          <w:color w:val="000000"/>
          <w:sz w:val="32"/>
          <w:szCs w:val="32"/>
        </w:rPr>
        <w:t> 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84,830.84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元,比上年增加减少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-60,178.43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元，增减下降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0%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，主要原因：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上年度专项今年支付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根据资金来源划分，其中：一般公共预算财政拨款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84,830.84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-60,178.43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元，增加下降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-41.5%，增减变化的主要原因是：上年度专项今年支付；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政府性基金预算财政拨款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元，增加下降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0%，增减变化的主要原因是：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000000"/>
          <w:sz w:val="32"/>
          <w:szCs w:val="32"/>
        </w:rPr>
        <w:lastRenderedPageBreak/>
        <w:t>（四）绩效目标完成情况。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  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根据市财政局要求，我中心以绩效评估为契机，认真对照评估指标，按照年度工作计划扎实推进2019年度财政支出绩效自评工作。总的来说，2019年我中心全体干部职工积极履职、扎实工作，较好完成了全年工作目标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eastAsia="黑体" w:hAnsi="黑体" w:cs="Calibri" w:hint="eastAsia"/>
          <w:color w:val="000000"/>
          <w:sz w:val="32"/>
          <w:szCs w:val="32"/>
        </w:rPr>
        <w:t>三、资产负债情况分析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2019年末资产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元，增加下降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0%，增减无变化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2019年末负债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元，比上年增减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元，增加下降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0%，增减无变化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t>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000000"/>
          <w:sz w:val="32"/>
          <w:szCs w:val="32"/>
        </w:rPr>
        <w:t>（一）资产负债结构情况。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对资产负债具体构成进行分析，可从占比、上下年变动等方面进行分析（可用饼图、</w:t>
      </w:r>
      <w:proofErr w:type="gramStart"/>
      <w:r>
        <w:rPr>
          <w:rFonts w:ascii="仿宋" w:eastAsia="仿宋" w:hAnsi="仿宋" w:cs="Calibri" w:hint="eastAsia"/>
          <w:color w:val="000000"/>
          <w:sz w:val="32"/>
          <w:szCs w:val="32"/>
        </w:rPr>
        <w:t>柱图或</w:t>
      </w:r>
      <w:proofErr w:type="gramEnd"/>
      <w:r>
        <w:rPr>
          <w:rFonts w:ascii="仿宋" w:eastAsia="仿宋" w:hAnsi="仿宋" w:cs="Calibri" w:hint="eastAsia"/>
          <w:color w:val="000000"/>
          <w:sz w:val="32"/>
          <w:szCs w:val="32"/>
        </w:rPr>
        <w:t>折线图），重点说明主要资产、负债基本情况、变动情况及原因。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3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楷体" w:eastAsia="楷体" w:hAnsi="楷体" w:cs="Calibri" w:hint="eastAsia"/>
          <w:b/>
          <w:bCs/>
          <w:color w:val="000000"/>
          <w:sz w:val="32"/>
          <w:szCs w:val="32"/>
        </w:rPr>
        <w:t>（二）资产负债对比分析。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计算资产负债率，可进行连续年度的对比，分析部门资产负债管理中存在的问题，加强资产效益管理，避免潜在的资产负债风险。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520" w:lineRule="atLeast"/>
        <w:ind w:firstLine="640"/>
        <w:jc w:val="both"/>
        <w:rPr>
          <w:rFonts w:ascii="Calibri" w:hAnsi="Calibri" w:cs="Calibri"/>
          <w:color w:val="000000"/>
          <w:sz w:val="21"/>
          <w:szCs w:val="21"/>
        </w:rPr>
      </w:pPr>
      <w:r>
        <w:rPr>
          <w:rFonts w:ascii="黑体" w:eastAsia="黑体" w:hAnsi="黑体" w:cs="Calibri" w:hint="eastAsia"/>
          <w:color w:val="000000"/>
          <w:sz w:val="32"/>
          <w:szCs w:val="32"/>
        </w:rPr>
        <w:t>四、本年度部门决算等财务工作开展情况</w:t>
      </w:r>
    </w:p>
    <w:p w:rsidR="00006BEE" w:rsidRDefault="00006BEE" w:rsidP="00006BEE">
      <w:pPr>
        <w:pStyle w:val="a3"/>
        <w:shd w:val="clear" w:color="auto" w:fill="FFFFFF"/>
        <w:spacing w:before="0" w:beforeAutospacing="0" w:after="0" w:afterAutospacing="0" w:line="480" w:lineRule="atLeast"/>
        <w:ind w:firstLine="560"/>
        <w:jc w:val="both"/>
        <w:textAlignment w:val="center"/>
        <w:rPr>
          <w:rFonts w:ascii="Calibri" w:hAnsi="Calibri" w:cs="Calibri"/>
          <w:color w:val="000000"/>
          <w:sz w:val="21"/>
          <w:szCs w:val="21"/>
        </w:rPr>
      </w:pPr>
      <w:r>
        <w:rPr>
          <w:rFonts w:ascii="仿宋" w:eastAsia="仿宋" w:hAnsi="仿宋" w:cs="Calibri" w:hint="eastAsia"/>
          <w:color w:val="000000"/>
          <w:sz w:val="32"/>
          <w:szCs w:val="32"/>
        </w:rPr>
        <w:t>我单位的财务管理、绩效管理、决算组织、编报、审核都严格按照财经纪律还严格把关，严格做到专款专用，不占用，不挪用。实行统收统支、集中使用、厉行节约、民主理</w:t>
      </w:r>
      <w:r>
        <w:rPr>
          <w:rFonts w:ascii="仿宋" w:eastAsia="仿宋" w:hAnsi="仿宋" w:cs="Calibri" w:hint="eastAsia"/>
          <w:color w:val="000000"/>
          <w:sz w:val="32"/>
          <w:szCs w:val="32"/>
        </w:rPr>
        <w:lastRenderedPageBreak/>
        <w:t>财，由中心主任、分管副主任会审联签，所有开支坚持先申报、后审批、再开支的原则，当月开支、当月申报、当月结清。严格执行《会计法》，财务人员必须严于律己，忠于职守，秉公办理，严格按财务制度理财，对违反规定的开支和票据，财务人员有权拒绝报销。</w:t>
      </w:r>
    </w:p>
    <w:p w:rsidR="00093357" w:rsidRPr="00006BEE" w:rsidRDefault="00093357"/>
    <w:sectPr w:rsidR="00093357" w:rsidRPr="00006BEE" w:rsidSect="00093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6BEE"/>
    <w:rsid w:val="00006BEE"/>
    <w:rsid w:val="00093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B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5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2021-06-04T08:16:00Z</dcterms:created>
  <dcterms:modified xsi:type="dcterms:W3CDTF">2021-06-04T08:17:00Z</dcterms:modified>
</cp:coreProperties>
</file>