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093" w:rsidRDefault="00297595">
      <w:pPr>
        <w:jc w:val="center"/>
        <w:rPr>
          <w:rFonts w:ascii="方正小标宋_GBK" w:eastAsia="方正小标宋_GBK" w:hAnsi="方正小标宋_GBK" w:cs="方正小标宋_GBK"/>
          <w:sz w:val="44"/>
        </w:rPr>
      </w:pPr>
      <w:r>
        <w:rPr>
          <w:rFonts w:ascii="宋体" w:eastAsia="宋体" w:hAnsi="宋体" w:cs="宋体"/>
          <w:sz w:val="44"/>
        </w:rPr>
        <w:t>目录</w:t>
      </w:r>
    </w:p>
    <w:p w:rsidR="00082093" w:rsidRDefault="00082093">
      <w:pPr>
        <w:ind w:firstLine="3200"/>
        <w:rPr>
          <w:rFonts w:ascii="仿宋" w:eastAsia="仿宋" w:hAnsi="仿宋" w:cs="仿宋"/>
          <w:sz w:val="32"/>
        </w:rPr>
      </w:pPr>
    </w:p>
    <w:p w:rsidR="00082093" w:rsidRDefault="00297595">
      <w:pPr>
        <w:rPr>
          <w:rFonts w:ascii="黑体" w:eastAsia="黑体" w:hAnsi="黑体" w:cs="黑体"/>
          <w:sz w:val="32"/>
        </w:rPr>
      </w:pPr>
      <w:r>
        <w:rPr>
          <w:rFonts w:ascii="黑体" w:eastAsia="黑体" w:hAnsi="黑体" w:cs="黑体"/>
          <w:sz w:val="32"/>
        </w:rPr>
        <w:t xml:space="preserve">第一部分 </w:t>
      </w:r>
      <w:r>
        <w:rPr>
          <w:rFonts w:ascii="黑体" w:eastAsia="黑体" w:hAnsi="黑体" w:cs="黑体" w:hint="eastAsia"/>
          <w:sz w:val="32"/>
        </w:rPr>
        <w:t>沅江市应急管理局</w:t>
      </w:r>
      <w:r>
        <w:rPr>
          <w:rFonts w:ascii="黑体" w:eastAsia="黑体" w:hAnsi="黑体" w:cs="黑体"/>
          <w:sz w:val="32"/>
        </w:rPr>
        <w:t xml:space="preserve">概况 </w:t>
      </w:r>
    </w:p>
    <w:p w:rsidR="00082093" w:rsidRDefault="00297595">
      <w:pPr>
        <w:rPr>
          <w:rFonts w:ascii="楷体" w:eastAsia="楷体" w:hAnsi="楷体" w:cs="楷体"/>
          <w:sz w:val="32"/>
        </w:rPr>
      </w:pPr>
      <w:r>
        <w:rPr>
          <w:rFonts w:ascii="楷体" w:eastAsia="楷体" w:hAnsi="楷体" w:cs="楷体"/>
          <w:sz w:val="32"/>
        </w:rPr>
        <w:t xml:space="preserve">一、主要职能 </w:t>
      </w:r>
    </w:p>
    <w:p w:rsidR="00082093" w:rsidRDefault="00297595">
      <w:pPr>
        <w:rPr>
          <w:rFonts w:ascii="楷体" w:eastAsia="楷体" w:hAnsi="楷体" w:cs="楷体"/>
          <w:sz w:val="32"/>
        </w:rPr>
      </w:pPr>
      <w:r>
        <w:rPr>
          <w:rFonts w:ascii="楷体" w:eastAsia="楷体" w:hAnsi="楷体" w:cs="楷体"/>
          <w:sz w:val="32"/>
        </w:rPr>
        <w:t>二、机构设置</w:t>
      </w:r>
    </w:p>
    <w:p w:rsidR="00082093" w:rsidRDefault="00297595">
      <w:pPr>
        <w:rPr>
          <w:rFonts w:ascii="楷体" w:eastAsia="楷体" w:hAnsi="楷体" w:cs="楷体"/>
          <w:sz w:val="32"/>
        </w:rPr>
      </w:pPr>
      <w:r>
        <w:rPr>
          <w:rFonts w:ascii="楷体" w:eastAsia="楷体" w:hAnsi="楷体" w:cs="楷体"/>
          <w:sz w:val="32"/>
        </w:rPr>
        <w:t xml:space="preserve">三、部门决算单位构成 </w:t>
      </w:r>
    </w:p>
    <w:p w:rsidR="00082093" w:rsidRDefault="00082093">
      <w:pPr>
        <w:rPr>
          <w:rFonts w:ascii="楷体" w:eastAsia="楷体" w:hAnsi="楷体" w:cs="楷体"/>
          <w:sz w:val="32"/>
        </w:rPr>
      </w:pPr>
    </w:p>
    <w:p w:rsidR="00082093" w:rsidRDefault="00297595">
      <w:pPr>
        <w:rPr>
          <w:rFonts w:ascii="黑体" w:eastAsia="黑体" w:hAnsi="黑体" w:cs="黑体"/>
          <w:sz w:val="32"/>
        </w:rPr>
      </w:pPr>
      <w:r>
        <w:rPr>
          <w:rFonts w:ascii="黑体" w:eastAsia="黑体" w:hAnsi="黑体" w:cs="黑体"/>
          <w:sz w:val="32"/>
        </w:rPr>
        <w:t>第二部分</w:t>
      </w:r>
      <w:r>
        <w:rPr>
          <w:rFonts w:ascii="黑体" w:eastAsia="黑体" w:hAnsi="黑体" w:cs="黑体" w:hint="eastAsia"/>
          <w:sz w:val="32"/>
        </w:rPr>
        <w:t>沅江市应急管理局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年度部门决算表 </w:t>
      </w:r>
    </w:p>
    <w:p w:rsidR="00082093" w:rsidRDefault="00297595">
      <w:pPr>
        <w:rPr>
          <w:rFonts w:ascii="楷体" w:eastAsia="楷体" w:hAnsi="楷体" w:cs="楷体"/>
          <w:sz w:val="32"/>
        </w:rPr>
      </w:pPr>
      <w:r>
        <w:rPr>
          <w:rFonts w:ascii="楷体" w:eastAsia="楷体" w:hAnsi="楷体" w:cs="楷体"/>
          <w:sz w:val="32"/>
        </w:rPr>
        <w:t xml:space="preserve">一、收入支出决算总表 </w:t>
      </w:r>
    </w:p>
    <w:p w:rsidR="00082093" w:rsidRDefault="00297595">
      <w:pPr>
        <w:rPr>
          <w:rFonts w:ascii="楷体" w:eastAsia="楷体" w:hAnsi="楷体" w:cs="楷体"/>
          <w:sz w:val="32"/>
        </w:rPr>
      </w:pPr>
      <w:r>
        <w:rPr>
          <w:rFonts w:ascii="楷体" w:eastAsia="楷体" w:hAnsi="楷体" w:cs="楷体"/>
          <w:sz w:val="32"/>
        </w:rPr>
        <w:t xml:space="preserve">二、收入决算表 </w:t>
      </w:r>
    </w:p>
    <w:p w:rsidR="00082093" w:rsidRDefault="00297595">
      <w:pPr>
        <w:rPr>
          <w:rFonts w:ascii="楷体" w:eastAsia="楷体" w:hAnsi="楷体" w:cs="楷体"/>
          <w:sz w:val="32"/>
        </w:rPr>
      </w:pPr>
      <w:r>
        <w:rPr>
          <w:rFonts w:ascii="楷体" w:eastAsia="楷体" w:hAnsi="楷体" w:cs="楷体"/>
          <w:sz w:val="32"/>
        </w:rPr>
        <w:t xml:space="preserve">三、支出决算表 </w:t>
      </w:r>
    </w:p>
    <w:p w:rsidR="00082093" w:rsidRDefault="00297595">
      <w:pPr>
        <w:rPr>
          <w:rFonts w:ascii="楷体" w:eastAsia="楷体" w:hAnsi="楷体" w:cs="楷体"/>
          <w:sz w:val="32"/>
        </w:rPr>
      </w:pPr>
      <w:r>
        <w:rPr>
          <w:rFonts w:ascii="楷体" w:eastAsia="楷体" w:hAnsi="楷体" w:cs="楷体"/>
          <w:sz w:val="32"/>
        </w:rPr>
        <w:t xml:space="preserve">四、财政拨款收入支出决算总表 </w:t>
      </w:r>
    </w:p>
    <w:p w:rsidR="00082093" w:rsidRDefault="00297595">
      <w:pPr>
        <w:rPr>
          <w:rFonts w:ascii="楷体" w:eastAsia="楷体" w:hAnsi="楷体" w:cs="楷体"/>
          <w:sz w:val="32"/>
        </w:rPr>
      </w:pPr>
      <w:r>
        <w:rPr>
          <w:rFonts w:ascii="楷体" w:eastAsia="楷体" w:hAnsi="楷体" w:cs="楷体"/>
          <w:sz w:val="32"/>
        </w:rPr>
        <w:t xml:space="preserve">五、一般公共预算财政拨款支出决算表 </w:t>
      </w:r>
    </w:p>
    <w:p w:rsidR="00082093" w:rsidRDefault="00297595">
      <w:pPr>
        <w:rPr>
          <w:rFonts w:ascii="楷体" w:eastAsia="楷体" w:hAnsi="楷体" w:cs="楷体"/>
          <w:sz w:val="32"/>
        </w:rPr>
      </w:pPr>
      <w:r>
        <w:rPr>
          <w:rFonts w:ascii="楷体" w:eastAsia="楷体" w:hAnsi="楷体" w:cs="楷体"/>
          <w:sz w:val="32"/>
        </w:rPr>
        <w:t xml:space="preserve">六、一般公共预算财政拨款基本支出决算表 </w:t>
      </w:r>
    </w:p>
    <w:p w:rsidR="00082093" w:rsidRDefault="00297595">
      <w:pPr>
        <w:rPr>
          <w:rFonts w:ascii="楷体" w:eastAsia="楷体" w:hAnsi="楷体" w:cs="楷体"/>
          <w:sz w:val="32"/>
        </w:rPr>
      </w:pPr>
      <w:r>
        <w:rPr>
          <w:rFonts w:ascii="楷体" w:eastAsia="楷体" w:hAnsi="楷体" w:cs="楷体"/>
          <w:sz w:val="32"/>
        </w:rPr>
        <w:t xml:space="preserve">七、一般公共预算财政拨款“三公”经费支出决算表 </w:t>
      </w:r>
    </w:p>
    <w:p w:rsidR="00082093" w:rsidRDefault="00297595">
      <w:pPr>
        <w:rPr>
          <w:rFonts w:ascii="楷体" w:eastAsia="楷体" w:hAnsi="楷体" w:cs="楷体"/>
          <w:sz w:val="32"/>
        </w:rPr>
      </w:pPr>
      <w:r>
        <w:rPr>
          <w:rFonts w:ascii="楷体" w:eastAsia="楷体" w:hAnsi="楷体" w:cs="楷体"/>
          <w:sz w:val="32"/>
        </w:rPr>
        <w:t xml:space="preserve">八、政府性基金预算财政拨款收入支出决算表 </w:t>
      </w:r>
    </w:p>
    <w:p w:rsidR="00082093" w:rsidRDefault="00082093">
      <w:pPr>
        <w:rPr>
          <w:rFonts w:ascii="楷体" w:eastAsia="楷体" w:hAnsi="楷体" w:cs="楷体"/>
          <w:sz w:val="32"/>
        </w:rPr>
      </w:pPr>
    </w:p>
    <w:p w:rsidR="00082093" w:rsidRDefault="00297595">
      <w:pPr>
        <w:rPr>
          <w:rFonts w:ascii="黑体" w:eastAsia="黑体" w:hAnsi="黑体" w:cs="黑体"/>
          <w:sz w:val="32"/>
        </w:rPr>
      </w:pPr>
      <w:r>
        <w:rPr>
          <w:rFonts w:ascii="黑体" w:eastAsia="黑体" w:hAnsi="黑体" w:cs="黑体"/>
          <w:sz w:val="32"/>
        </w:rPr>
        <w:t xml:space="preserve">第三部分 </w:t>
      </w:r>
      <w:r>
        <w:rPr>
          <w:rFonts w:ascii="黑体" w:eastAsia="黑体" w:hAnsi="黑体" w:cs="黑体" w:hint="eastAsia"/>
          <w:sz w:val="32"/>
        </w:rPr>
        <w:t>沅江市应急管理局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rsidR="00082093" w:rsidRDefault="00297595">
      <w:pPr>
        <w:jc w:val="left"/>
        <w:rPr>
          <w:rFonts w:ascii="楷体" w:eastAsia="楷体" w:hAnsi="楷体" w:cs="楷体"/>
          <w:sz w:val="32"/>
        </w:rPr>
      </w:pPr>
      <w:r>
        <w:rPr>
          <w:rFonts w:ascii="楷体" w:eastAsia="楷体" w:hAnsi="楷体" w:cs="楷体" w:hint="eastAsia"/>
          <w:sz w:val="32"/>
        </w:rPr>
        <w:t>一、收入支出决算总体情况说明</w:t>
      </w:r>
    </w:p>
    <w:p w:rsidR="00082093" w:rsidRDefault="00297595">
      <w:pPr>
        <w:jc w:val="left"/>
        <w:rPr>
          <w:rFonts w:ascii="楷体" w:eastAsia="楷体" w:hAnsi="楷体" w:cs="楷体"/>
          <w:sz w:val="32"/>
        </w:rPr>
      </w:pPr>
      <w:r>
        <w:rPr>
          <w:rFonts w:ascii="楷体" w:eastAsia="楷体" w:hAnsi="楷体" w:cs="楷体" w:hint="eastAsia"/>
          <w:sz w:val="32"/>
        </w:rPr>
        <w:t>二、收入决算情况说明</w:t>
      </w:r>
    </w:p>
    <w:p w:rsidR="00082093" w:rsidRDefault="00297595">
      <w:pPr>
        <w:jc w:val="left"/>
        <w:rPr>
          <w:rFonts w:ascii="楷体" w:eastAsia="楷体" w:hAnsi="楷体" w:cs="楷体"/>
          <w:sz w:val="32"/>
        </w:rPr>
      </w:pPr>
      <w:r>
        <w:rPr>
          <w:rFonts w:ascii="楷体" w:eastAsia="楷体" w:hAnsi="楷体" w:cs="楷体" w:hint="eastAsia"/>
          <w:sz w:val="32"/>
        </w:rPr>
        <w:t>三、支出决算情况说明</w:t>
      </w:r>
    </w:p>
    <w:p w:rsidR="00082093" w:rsidRDefault="00297595">
      <w:pPr>
        <w:jc w:val="left"/>
        <w:rPr>
          <w:rFonts w:ascii="楷体" w:eastAsia="楷体" w:hAnsi="楷体" w:cs="楷体"/>
          <w:sz w:val="32"/>
        </w:rPr>
      </w:pPr>
      <w:r>
        <w:rPr>
          <w:rFonts w:ascii="楷体" w:eastAsia="楷体" w:hAnsi="楷体" w:cs="楷体" w:hint="eastAsia"/>
          <w:sz w:val="32"/>
        </w:rPr>
        <w:t>四、财政拨款收入支出决算总体情况说明</w:t>
      </w:r>
    </w:p>
    <w:p w:rsidR="00082093" w:rsidRDefault="00297595">
      <w:pPr>
        <w:jc w:val="left"/>
        <w:rPr>
          <w:rFonts w:ascii="楷体" w:eastAsia="楷体" w:hAnsi="楷体" w:cs="楷体"/>
          <w:sz w:val="32"/>
        </w:rPr>
      </w:pPr>
      <w:r>
        <w:rPr>
          <w:rFonts w:ascii="楷体" w:eastAsia="楷体" w:hAnsi="楷体" w:cs="楷体" w:hint="eastAsia"/>
          <w:sz w:val="32"/>
        </w:rPr>
        <w:lastRenderedPageBreak/>
        <w:t>五、一般公共预算财政拨款支出决算情况说明</w:t>
      </w:r>
    </w:p>
    <w:p w:rsidR="00082093" w:rsidRDefault="00297595">
      <w:pPr>
        <w:jc w:val="left"/>
        <w:rPr>
          <w:rFonts w:ascii="楷体" w:eastAsia="楷体" w:hAnsi="楷体" w:cs="楷体"/>
          <w:sz w:val="32"/>
        </w:rPr>
      </w:pPr>
      <w:r>
        <w:rPr>
          <w:rFonts w:ascii="楷体" w:eastAsia="楷体" w:hAnsi="楷体" w:cs="楷体" w:hint="eastAsia"/>
          <w:sz w:val="32"/>
        </w:rPr>
        <w:t xml:space="preserve">六、一般公共预算财政拨款基本支出决算情况说明 </w:t>
      </w:r>
    </w:p>
    <w:p w:rsidR="00082093" w:rsidRDefault="00297595">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rsidR="00082093" w:rsidRDefault="00297595">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rsidR="00082093" w:rsidRDefault="00297595">
      <w:pPr>
        <w:jc w:val="left"/>
        <w:rPr>
          <w:rFonts w:ascii="楷体" w:eastAsia="楷体" w:hAnsi="楷体" w:cs="楷体"/>
          <w:sz w:val="32"/>
        </w:rPr>
      </w:pPr>
      <w:r>
        <w:rPr>
          <w:rFonts w:ascii="楷体" w:eastAsia="楷体" w:hAnsi="楷体" w:cs="楷体" w:hint="eastAsia"/>
          <w:sz w:val="32"/>
        </w:rPr>
        <w:t>九、预算绩效情况说明</w:t>
      </w:r>
    </w:p>
    <w:p w:rsidR="00082093" w:rsidRDefault="00297595">
      <w:pPr>
        <w:jc w:val="left"/>
        <w:rPr>
          <w:rFonts w:ascii="楷体" w:eastAsia="楷体" w:hAnsi="楷体" w:cs="楷体"/>
          <w:sz w:val="32"/>
        </w:rPr>
      </w:pPr>
      <w:r>
        <w:rPr>
          <w:rFonts w:ascii="楷体" w:eastAsia="楷体" w:hAnsi="楷体" w:cs="楷体" w:hint="eastAsia"/>
          <w:sz w:val="32"/>
        </w:rPr>
        <w:t xml:space="preserve">十、其他重要事项情况说明 </w:t>
      </w:r>
    </w:p>
    <w:p w:rsidR="00082093" w:rsidRDefault="00082093">
      <w:pPr>
        <w:rPr>
          <w:rFonts w:ascii="黑体" w:eastAsia="黑体" w:hAnsi="黑体" w:cs="黑体"/>
          <w:sz w:val="32"/>
        </w:rPr>
      </w:pPr>
    </w:p>
    <w:p w:rsidR="00082093" w:rsidRDefault="00297595">
      <w:pPr>
        <w:rPr>
          <w:rFonts w:ascii="黑体" w:eastAsia="黑体" w:hAnsi="黑体" w:cs="黑体"/>
          <w:sz w:val="32"/>
        </w:rPr>
      </w:pPr>
      <w:r>
        <w:rPr>
          <w:rFonts w:ascii="黑体" w:eastAsia="黑体" w:hAnsi="黑体" w:cs="黑体"/>
          <w:sz w:val="32"/>
        </w:rPr>
        <w:t>第四部分 名词解释</w:t>
      </w:r>
    </w:p>
    <w:p w:rsidR="004110DB" w:rsidRDefault="004110DB">
      <w:pPr>
        <w:rPr>
          <w:rFonts w:ascii="黑体" w:eastAsia="黑体" w:hAnsi="黑体" w:cs="黑体"/>
          <w:sz w:val="32"/>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082093">
      <w:pPr>
        <w:jc w:val="center"/>
        <w:rPr>
          <w:rFonts w:ascii="宋体" w:eastAsia="宋体" w:hAnsi="宋体" w:cs="宋体"/>
          <w:sz w:val="44"/>
        </w:rPr>
      </w:pPr>
    </w:p>
    <w:p w:rsidR="00082093" w:rsidRDefault="00297595">
      <w:pPr>
        <w:jc w:val="center"/>
        <w:rPr>
          <w:rFonts w:ascii="宋体" w:eastAsia="宋体" w:hAnsi="宋体" w:cs="宋体"/>
          <w:sz w:val="44"/>
        </w:rPr>
      </w:pPr>
      <w:r>
        <w:rPr>
          <w:rFonts w:ascii="宋体" w:eastAsia="宋体" w:hAnsi="宋体" w:cs="宋体"/>
          <w:sz w:val="44"/>
        </w:rPr>
        <w:t>第一部分</w:t>
      </w:r>
      <w:r>
        <w:rPr>
          <w:rFonts w:ascii="宋体" w:eastAsia="宋体" w:hAnsi="宋体" w:cs="宋体" w:hint="eastAsia"/>
          <w:sz w:val="44"/>
        </w:rPr>
        <w:t>沅江市应急管理局</w:t>
      </w:r>
      <w:r>
        <w:rPr>
          <w:rFonts w:ascii="宋体" w:eastAsia="宋体" w:hAnsi="宋体" w:cs="宋体"/>
          <w:sz w:val="44"/>
        </w:rPr>
        <w:t>概况</w:t>
      </w:r>
    </w:p>
    <w:p w:rsidR="00082093" w:rsidRDefault="00082093">
      <w:pPr>
        <w:jc w:val="center"/>
        <w:rPr>
          <w:rFonts w:ascii="方正小标宋_GBK" w:eastAsia="方正小标宋_GBK" w:hAnsi="方正小标宋_GBK" w:cs="方正小标宋_GBK"/>
          <w:sz w:val="44"/>
        </w:rPr>
      </w:pPr>
    </w:p>
    <w:p w:rsidR="00082093" w:rsidRDefault="00297595">
      <w:pPr>
        <w:numPr>
          <w:ilvl w:val="0"/>
          <w:numId w:val="1"/>
        </w:numPr>
        <w:jc w:val="left"/>
        <w:rPr>
          <w:rFonts w:ascii="黑体" w:eastAsia="黑体" w:hAnsi="黑体" w:cs="黑体"/>
          <w:sz w:val="32"/>
        </w:rPr>
      </w:pPr>
      <w:r>
        <w:rPr>
          <w:rFonts w:ascii="黑体" w:eastAsia="黑体" w:hAnsi="黑体" w:cs="黑体"/>
          <w:sz w:val="32"/>
        </w:rPr>
        <w:t>主要职能</w:t>
      </w:r>
    </w:p>
    <w:p w:rsidR="00082093" w:rsidRDefault="00297595">
      <w:p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沅江市应急管理局为市政府工作部门，为正科级。</w:t>
      </w:r>
    </w:p>
    <w:p w:rsidR="00082093" w:rsidRDefault="00297595">
      <w:p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主要职责有：（一）负责应急管理工作，指导全市应对安全生产类、自然灾害类等突发事件和中和防灾救灾工作。负责安全生产综合监督管理和工矿商贸行业安全生产监督管理工作。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贯彻实施相关法律法规、规章、规程和标准，组织编制全市应急体系建设、安全生产和综合防灾救灾规划并监督实施。</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指导应急预案体系建设，建立完善事故灾难和自然灾害分级应对制度，组织编制全市总体应急预案和安全生产类、自然灾害类专项预案，综合协调应急预案衔接工作，组织开展预案演练，推动应急避难设施建设。</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牵头推进全市统一的应急管理信息系统建设，负责信息传输渠道的规划和布局，建立监测预警和灾情报告制度，健全自然灾害信息资源获取和共享机制，依法统一发布灾情。</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组织指导协调安全生产类，自然灾害类等突发事件应急救援，承担市应对灾害指挥部工作，综合研判突发事件发展态势并提出应对建议，协助市委、市政府指定的负责同志组织灾害应急处置工作。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统一协调指挥各类应急专业队伍，建立应急协调联动机</w:t>
      </w:r>
      <w:r>
        <w:rPr>
          <w:rFonts w:ascii="仿宋_GB2312" w:eastAsia="仿宋_GB2312" w:hAnsi="仿宋_GB2312" w:hint="eastAsia"/>
          <w:sz w:val="28"/>
        </w:rPr>
        <w:lastRenderedPageBreak/>
        <w:t>制，推进指挥平台对接，负责做好解放军和武警部队参与应急救援相关衔接工作。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统筹全市应急救援力量建设，负责消防、森林火灾扑救、抗洪抢险、地震和地质灾害救援、生产安全事故救援等专业应急救援力量建设，依权限做好驻沅国家综合性应急救援队伍建设的相关工作，指导地方及社会应急救援力量建设。</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负责全市消防管理有关工作，指导消防监督、火灾预防、火灾扑救工作。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指导协调全市森林火灾、水旱灾害、地震和地质灾害等防治工作，负责自然灾害综合监测预警工作，指导开展自然灾害综合风险评估工作。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组织协调灾害救助工作，组织指导灾情核查、损失评估、救灾捐赠工作，按权限管理、分配中央、省、益阳市下达和市本级救灾款物并监督使用。</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依法行使安全生产综合监督管理职权，指导协调、监督检查市委、市政府有关部门和镇、场、街道、园区安全生产工作，组织开展安全生产巡查、考核工作。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依法组织指导生产安全事故调查处理，监督事故查处</w:t>
      </w:r>
      <w:r>
        <w:rPr>
          <w:rFonts w:ascii="仿宋_GB2312" w:eastAsia="仿宋_GB2312" w:hAnsi="仿宋_GB2312" w:hint="eastAsia"/>
          <w:sz w:val="28"/>
        </w:rPr>
        <w:lastRenderedPageBreak/>
        <w:t>和责任追究落实情况。组织开展自然灾害类突发事件的调查评估工作。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开展应急管理对外交流与合作，组织参与安全生产类、自然灾害类等突发事件的对外救援工作。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制定全市应急物资储备和应急救援装备规划并组织实施，会同市发展和改革局等部门建立健全应急物资信息平台和调拨制度，在救灾时统一调度。</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负责应急管理、安全生产宣传教育和培训工作，组织指导应急管理、安全生产的科学技术研究、推广应用和信息化建设工作。</w:t>
      </w:r>
    </w:p>
    <w:p w:rsidR="00082093" w:rsidRDefault="00297595">
      <w:pPr>
        <w:numPr>
          <w:ilvl w:val="0"/>
          <w:numId w:val="2"/>
        </w:num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承担市防汛抗旱指挥部日常工作，协调市防汛抗旱指挥部成员单位的相关工作，组织执行国家防汛抗旱总指挥部、相关流域防汛抗旱指挥机构和省、益阳市、沅江市防汛抗旱指挥部的指示、命令。</w:t>
      </w:r>
    </w:p>
    <w:p w:rsidR="00082093" w:rsidRDefault="00297595">
      <w:pPr>
        <w:snapToGrid w:val="0"/>
        <w:spacing w:line="600" w:lineRule="exact"/>
        <w:ind w:firstLineChars="200" w:firstLine="560"/>
        <w:rPr>
          <w:rFonts w:ascii="仿宋" w:eastAsia="仿宋" w:hAnsi="仿宋"/>
          <w:sz w:val="32"/>
        </w:rPr>
      </w:pPr>
      <w:r>
        <w:rPr>
          <w:rFonts w:ascii="仿宋_GB2312" w:eastAsia="仿宋_GB2312" w:hAnsi="仿宋_GB2312" w:hint="eastAsia"/>
          <w:sz w:val="28"/>
        </w:rPr>
        <w:t>（十八）完成市委、市政府交办的其他任务。</w:t>
      </w:r>
    </w:p>
    <w:p w:rsidR="00082093" w:rsidRDefault="00082093">
      <w:pPr>
        <w:rPr>
          <w:rFonts w:ascii="仿宋" w:eastAsia="仿宋" w:hAnsi="仿宋" w:cs="仿宋"/>
          <w:sz w:val="32"/>
        </w:rPr>
      </w:pPr>
    </w:p>
    <w:p w:rsidR="00082093" w:rsidRDefault="00297595">
      <w:pPr>
        <w:ind w:left="795" w:hanging="795"/>
        <w:rPr>
          <w:rFonts w:ascii="黑体" w:eastAsia="黑体" w:hAnsi="黑体" w:cs="黑体"/>
          <w:sz w:val="32"/>
        </w:rPr>
      </w:pPr>
      <w:r>
        <w:rPr>
          <w:rFonts w:ascii="黑体" w:eastAsia="黑体" w:hAnsi="黑体" w:cs="黑体"/>
          <w:sz w:val="32"/>
        </w:rPr>
        <w:t>二、机构设置</w:t>
      </w:r>
    </w:p>
    <w:p w:rsidR="00082093" w:rsidRDefault="00297595">
      <w:pPr>
        <w:snapToGrid w:val="0"/>
        <w:spacing w:line="600" w:lineRule="exact"/>
        <w:ind w:firstLineChars="200" w:firstLine="560"/>
        <w:rPr>
          <w:rFonts w:ascii="仿宋_GB2312" w:eastAsia="仿宋_GB2312" w:hAnsi="仿宋_GB2312"/>
          <w:sz w:val="28"/>
        </w:rPr>
      </w:pPr>
      <w:r>
        <w:rPr>
          <w:rFonts w:ascii="仿宋_GB2312" w:eastAsia="仿宋_GB2312" w:hAnsi="仿宋_GB2312" w:hint="eastAsia"/>
          <w:sz w:val="28"/>
        </w:rPr>
        <w:t>2019年，根据沅江市委、市人民政府决定，报益阳市机构编制委员会批准（益办发〔2019〕14号），成立沅江市应急管理局（加挂市防汛抗旱指挥部办公室的牌子）（沅办〔2019〕40号），履行安全生产监督管理职能，为沅江市人民政府的工作部门。</w:t>
      </w:r>
    </w:p>
    <w:p w:rsidR="00082093" w:rsidRDefault="00082093">
      <w:pPr>
        <w:ind w:left="795" w:hanging="795"/>
        <w:jc w:val="left"/>
        <w:rPr>
          <w:rFonts w:ascii="黑体" w:eastAsia="黑体" w:hAnsi="黑体" w:cs="黑体"/>
          <w:sz w:val="32"/>
        </w:rPr>
      </w:pPr>
    </w:p>
    <w:p w:rsidR="00082093" w:rsidRDefault="00297595">
      <w:pPr>
        <w:ind w:left="795" w:hanging="795"/>
        <w:jc w:val="left"/>
        <w:rPr>
          <w:rFonts w:ascii="黑体" w:eastAsia="黑体" w:hAnsi="黑体" w:cs="黑体"/>
          <w:sz w:val="32"/>
        </w:rPr>
      </w:pPr>
      <w:r>
        <w:rPr>
          <w:rFonts w:ascii="黑体" w:eastAsia="黑体" w:hAnsi="黑体" w:cs="黑体"/>
          <w:sz w:val="32"/>
        </w:rPr>
        <w:t>三、部门决算单位构成</w:t>
      </w:r>
    </w:p>
    <w:p w:rsidR="00082093" w:rsidRDefault="00297595">
      <w:pPr>
        <w:ind w:firstLine="640"/>
        <w:rPr>
          <w:rFonts w:ascii="仿宋" w:eastAsia="仿宋" w:hAnsi="仿宋" w:cs="仿宋"/>
          <w:sz w:val="32"/>
        </w:rPr>
      </w:pPr>
      <w:r>
        <w:rPr>
          <w:rFonts w:ascii="仿宋" w:eastAsia="仿宋" w:hAnsi="仿宋" w:cs="仿宋"/>
          <w:sz w:val="32"/>
        </w:rPr>
        <w:lastRenderedPageBreak/>
        <w:t>从决算单位构成看，</w:t>
      </w:r>
      <w:r>
        <w:rPr>
          <w:rFonts w:ascii="仿宋" w:eastAsia="仿宋" w:hAnsi="仿宋" w:cs="仿宋" w:hint="eastAsia"/>
          <w:sz w:val="32"/>
        </w:rPr>
        <w:t>沅江市应急管理局</w:t>
      </w:r>
      <w:r>
        <w:rPr>
          <w:rFonts w:ascii="仿宋" w:eastAsia="仿宋" w:hAnsi="仿宋" w:cs="仿宋"/>
          <w:sz w:val="32"/>
        </w:rPr>
        <w:t>部门决算包括：</w:t>
      </w:r>
      <w:r>
        <w:rPr>
          <w:rFonts w:ascii="仿宋" w:eastAsia="仿宋" w:hAnsi="仿宋" w:cs="仿宋" w:hint="eastAsia"/>
          <w:sz w:val="32"/>
        </w:rPr>
        <w:t>沅江市应急管理局本级</w:t>
      </w:r>
    </w:p>
    <w:tbl>
      <w:tblPr>
        <w:tblW w:w="0" w:type="auto"/>
        <w:tblInd w:w="98" w:type="dxa"/>
        <w:tblCellMar>
          <w:left w:w="10" w:type="dxa"/>
          <w:right w:w="10" w:type="dxa"/>
        </w:tblCellMar>
        <w:tblLook w:val="04A0"/>
      </w:tblPr>
      <w:tblGrid>
        <w:gridCol w:w="2212"/>
        <w:gridCol w:w="6212"/>
      </w:tblGrid>
      <w:tr w:rsidR="00082093" w:rsidTr="00510344">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2093" w:rsidRDefault="00297595">
            <w:pPr>
              <w:jc w:val="center"/>
            </w:pPr>
            <w:r>
              <w:rPr>
                <w:rFonts w:ascii="仿宋" w:eastAsia="仿宋" w:hAnsi="仿宋" w:cs="仿宋"/>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2093" w:rsidRDefault="00297595">
            <w:pPr>
              <w:jc w:val="center"/>
            </w:pPr>
            <w:r>
              <w:rPr>
                <w:rFonts w:ascii="仿宋" w:eastAsia="仿宋" w:hAnsi="仿宋" w:cs="仿宋"/>
                <w:b/>
                <w:sz w:val="28"/>
              </w:rPr>
              <w:t>单位名称</w:t>
            </w:r>
          </w:p>
        </w:tc>
      </w:tr>
      <w:tr w:rsidR="00082093" w:rsidTr="00510344">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2093" w:rsidRDefault="00297595">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2093" w:rsidRDefault="00297595">
            <w:pPr>
              <w:ind w:firstLine="640"/>
              <w:rPr>
                <w:rFonts w:ascii="宋体" w:eastAsia="宋体" w:hAnsi="宋体" w:cs="宋体"/>
                <w:sz w:val="22"/>
              </w:rPr>
            </w:pPr>
            <w:r>
              <w:rPr>
                <w:rFonts w:ascii="仿宋" w:eastAsia="仿宋" w:hAnsi="仿宋" w:cs="仿宋" w:hint="eastAsia"/>
                <w:sz w:val="32"/>
              </w:rPr>
              <w:t>沅江市应急管理局本级</w:t>
            </w:r>
          </w:p>
        </w:tc>
      </w:tr>
      <w:tr w:rsidR="00082093" w:rsidTr="00510344">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2093" w:rsidRDefault="00297595">
            <w:pPr>
              <w:jc w:val="center"/>
            </w:pPr>
            <w:r>
              <w:rPr>
                <w:rFonts w:ascii="仿宋" w:eastAsia="仿宋" w:hAnsi="仿宋" w:cs="仿宋"/>
                <w:b/>
                <w:sz w:val="28"/>
              </w:rPr>
              <w:t>2</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82093" w:rsidRDefault="00082093">
            <w:pPr>
              <w:rPr>
                <w:rFonts w:ascii="宋体" w:eastAsia="宋体" w:hAnsi="宋体" w:cs="宋体"/>
                <w:sz w:val="22"/>
              </w:rPr>
            </w:pPr>
          </w:p>
        </w:tc>
      </w:tr>
    </w:tbl>
    <w:p w:rsidR="00082093" w:rsidRDefault="00082093">
      <w:pPr>
        <w:rPr>
          <w:rFonts w:ascii="仿宋" w:eastAsia="仿宋" w:hAnsi="仿宋" w:cs="仿宋"/>
          <w:sz w:val="32"/>
        </w:rPr>
      </w:pPr>
    </w:p>
    <w:p w:rsidR="00082093" w:rsidRDefault="00082093">
      <w:pPr>
        <w:numPr>
          <w:ilvl w:val="0"/>
          <w:numId w:val="3"/>
        </w:numPr>
        <w:ind w:firstLine="640"/>
        <w:jc w:val="center"/>
        <w:rPr>
          <w:rFonts w:ascii="方正小标宋_GBK" w:eastAsia="方正小标宋_GBK" w:hAnsi="方正小标宋_GBK" w:cs="方正小标宋_GBK"/>
          <w:sz w:val="44"/>
        </w:rPr>
      </w:pPr>
    </w:p>
    <w:p w:rsidR="00082093" w:rsidRDefault="00297595">
      <w:pPr>
        <w:jc w:val="center"/>
        <w:rPr>
          <w:rFonts w:ascii="宋体" w:eastAsia="宋体" w:hAnsi="宋体" w:cs="宋体"/>
          <w:sz w:val="44"/>
        </w:rPr>
      </w:pPr>
      <w:r>
        <w:rPr>
          <w:rFonts w:ascii="宋体" w:eastAsia="宋体" w:hAnsi="宋体" w:cs="宋体" w:hint="eastAsia"/>
          <w:sz w:val="44"/>
        </w:rPr>
        <w:t>沅江市应急管理局</w:t>
      </w:r>
    </w:p>
    <w:p w:rsidR="00082093" w:rsidRDefault="00297595">
      <w:pPr>
        <w:jc w:val="center"/>
        <w:rPr>
          <w:rFonts w:ascii="宋体" w:eastAsia="宋体" w:hAnsi="宋体" w:cs="宋体"/>
          <w:sz w:val="44"/>
        </w:rPr>
      </w:pP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宋体" w:eastAsia="宋体" w:hAnsi="宋体" w:cs="宋体"/>
          <w:sz w:val="44"/>
        </w:rPr>
        <w:t>年度部门决算表</w:t>
      </w:r>
    </w:p>
    <w:p w:rsidR="00082093" w:rsidRDefault="00297595">
      <w:pPr>
        <w:jc w:val="left"/>
        <w:rPr>
          <w:rFonts w:ascii="宋体" w:eastAsia="宋体" w:hAnsi="宋体" w:cs="宋体"/>
          <w:sz w:val="44"/>
        </w:rPr>
      </w:pPr>
      <w:r>
        <w:rPr>
          <w:rFonts w:ascii="仿宋" w:eastAsia="仿宋" w:hAnsi="仿宋" w:cs="仿宋"/>
          <w:sz w:val="32"/>
        </w:rPr>
        <w:t>表1：收</w:t>
      </w:r>
      <w:r w:rsidR="00965073">
        <w:rPr>
          <w:rFonts w:ascii="仿宋" w:eastAsia="仿宋" w:hAnsi="仿宋" w:cs="仿宋"/>
          <w:sz w:val="32"/>
        </w:rPr>
        <w:t>入支出决算总表</w:t>
      </w:r>
      <w:r w:rsidR="00965073" w:rsidRPr="00965073">
        <w:rPr>
          <w:rFonts w:hint="eastAsia"/>
          <w:noProof/>
        </w:rPr>
        <w:drawing>
          <wp:inline distT="0" distB="0" distL="0" distR="0">
            <wp:extent cx="5268565" cy="3284220"/>
            <wp:effectExtent l="19050" t="0" r="82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274310" cy="3287801"/>
                    </a:xfrm>
                    <a:prstGeom prst="rect">
                      <a:avLst/>
                    </a:prstGeom>
                    <a:noFill/>
                    <a:ln w="9525">
                      <a:noFill/>
                      <a:miter lim="800000"/>
                      <a:headEnd/>
                      <a:tailEnd/>
                    </a:ln>
                  </pic:spPr>
                </pic:pic>
              </a:graphicData>
            </a:graphic>
          </wp:inline>
        </w:drawing>
      </w:r>
    </w:p>
    <w:tbl>
      <w:tblPr>
        <w:tblpPr w:leftFromText="180" w:rightFromText="180" w:vertAnchor="text" w:horzAnchor="page" w:tblpX="440" w:tblpY="1088"/>
        <w:tblOverlap w:val="never"/>
        <w:tblW w:w="11220" w:type="dxa"/>
        <w:tblLayout w:type="fixed"/>
        <w:tblCellMar>
          <w:left w:w="0" w:type="dxa"/>
          <w:right w:w="0" w:type="dxa"/>
        </w:tblCellMar>
        <w:tblLook w:val="04A0"/>
      </w:tblPr>
      <w:tblGrid>
        <w:gridCol w:w="2796"/>
        <w:gridCol w:w="731"/>
        <w:gridCol w:w="1700"/>
        <w:gridCol w:w="4182"/>
        <w:gridCol w:w="379"/>
        <w:gridCol w:w="1432"/>
      </w:tblGrid>
      <w:tr w:rsidR="00082093">
        <w:trPr>
          <w:trHeight w:val="483"/>
        </w:trPr>
        <w:tc>
          <w:tcPr>
            <w:tcW w:w="11220" w:type="dxa"/>
            <w:gridSpan w:val="6"/>
            <w:tcBorders>
              <w:top w:val="nil"/>
              <w:left w:val="nil"/>
              <w:bottom w:val="nil"/>
              <w:right w:val="nil"/>
            </w:tcBorders>
            <w:shd w:val="clear" w:color="auto" w:fill="auto"/>
            <w:noWrap/>
            <w:tcMar>
              <w:top w:w="12" w:type="dxa"/>
              <w:left w:w="12" w:type="dxa"/>
              <w:right w:w="12" w:type="dxa"/>
            </w:tcMar>
            <w:vAlign w:val="center"/>
          </w:tcPr>
          <w:p w:rsidR="00082093" w:rsidRDefault="00082093">
            <w:pPr>
              <w:widowControl/>
              <w:jc w:val="center"/>
              <w:textAlignment w:val="center"/>
              <w:rPr>
                <w:rFonts w:ascii="华文中宋" w:eastAsia="华文中宋" w:hAnsi="华文中宋" w:cs="华文中宋"/>
                <w:color w:val="000000"/>
                <w:sz w:val="32"/>
                <w:szCs w:val="32"/>
              </w:rPr>
            </w:pPr>
          </w:p>
        </w:tc>
      </w:tr>
      <w:tr w:rsidR="00082093">
        <w:trPr>
          <w:trHeight w:val="394"/>
        </w:trPr>
        <w:tc>
          <w:tcPr>
            <w:tcW w:w="2796" w:type="dxa"/>
            <w:tcBorders>
              <w:top w:val="nil"/>
              <w:left w:val="nil"/>
              <w:bottom w:val="nil"/>
              <w:right w:val="nil"/>
            </w:tcBorders>
            <w:shd w:val="clear" w:color="auto" w:fill="FFFFFF"/>
            <w:noWrap/>
            <w:tcMar>
              <w:top w:w="12" w:type="dxa"/>
              <w:left w:w="12" w:type="dxa"/>
              <w:right w:w="12" w:type="dxa"/>
            </w:tcMar>
            <w:vAlign w:val="center"/>
          </w:tcPr>
          <w:p w:rsidR="00082093" w:rsidRDefault="00082093">
            <w:pPr>
              <w:jc w:val="right"/>
              <w:rPr>
                <w:rFonts w:ascii="宋体" w:eastAsia="宋体" w:hAnsi="宋体" w:cs="宋体"/>
                <w:color w:val="000000"/>
                <w:sz w:val="24"/>
                <w:szCs w:val="24"/>
              </w:rPr>
            </w:pPr>
          </w:p>
        </w:tc>
        <w:tc>
          <w:tcPr>
            <w:tcW w:w="731" w:type="dxa"/>
            <w:tcBorders>
              <w:top w:val="nil"/>
              <w:left w:val="nil"/>
              <w:bottom w:val="nil"/>
              <w:right w:val="nil"/>
            </w:tcBorders>
            <w:shd w:val="clear" w:color="auto" w:fill="FFFFFF"/>
            <w:noWrap/>
            <w:tcMar>
              <w:top w:w="12" w:type="dxa"/>
              <w:left w:w="12" w:type="dxa"/>
              <w:right w:w="12" w:type="dxa"/>
            </w:tcMar>
            <w:vAlign w:val="center"/>
          </w:tcPr>
          <w:p w:rsidR="00082093" w:rsidRDefault="00082093">
            <w:pPr>
              <w:jc w:val="right"/>
              <w:rPr>
                <w:rFonts w:ascii="宋体" w:eastAsia="宋体" w:hAnsi="宋体" w:cs="宋体"/>
                <w:color w:val="000000"/>
                <w:sz w:val="24"/>
                <w:szCs w:val="24"/>
              </w:rPr>
            </w:pPr>
          </w:p>
        </w:tc>
        <w:tc>
          <w:tcPr>
            <w:tcW w:w="1700" w:type="dxa"/>
            <w:tcBorders>
              <w:top w:val="nil"/>
              <w:left w:val="nil"/>
              <w:bottom w:val="nil"/>
              <w:right w:val="nil"/>
            </w:tcBorders>
            <w:shd w:val="clear" w:color="auto" w:fill="FFFFFF"/>
            <w:noWrap/>
            <w:tcMar>
              <w:top w:w="12" w:type="dxa"/>
              <w:left w:w="12" w:type="dxa"/>
              <w:right w:w="12" w:type="dxa"/>
            </w:tcMar>
            <w:vAlign w:val="center"/>
          </w:tcPr>
          <w:p w:rsidR="00082093" w:rsidRDefault="00082093">
            <w:pPr>
              <w:jc w:val="right"/>
              <w:rPr>
                <w:rFonts w:ascii="宋体" w:eastAsia="宋体" w:hAnsi="宋体" w:cs="宋体"/>
                <w:color w:val="000000"/>
                <w:sz w:val="24"/>
                <w:szCs w:val="24"/>
              </w:rPr>
            </w:pPr>
          </w:p>
        </w:tc>
        <w:tc>
          <w:tcPr>
            <w:tcW w:w="4182" w:type="dxa"/>
            <w:tcBorders>
              <w:top w:val="nil"/>
              <w:left w:val="nil"/>
              <w:bottom w:val="nil"/>
              <w:right w:val="nil"/>
            </w:tcBorders>
            <w:shd w:val="clear" w:color="auto" w:fill="FFFFFF"/>
            <w:noWrap/>
            <w:tcMar>
              <w:top w:w="12" w:type="dxa"/>
              <w:left w:w="12" w:type="dxa"/>
              <w:right w:w="12" w:type="dxa"/>
            </w:tcMar>
            <w:vAlign w:val="center"/>
          </w:tcPr>
          <w:p w:rsidR="00082093" w:rsidRDefault="00082093" w:rsidP="00965073">
            <w:pPr>
              <w:ind w:right="480"/>
              <w:rPr>
                <w:rFonts w:ascii="宋体" w:eastAsia="宋体" w:hAnsi="宋体" w:cs="宋体"/>
                <w:color w:val="000000"/>
                <w:sz w:val="24"/>
                <w:szCs w:val="24"/>
              </w:rPr>
            </w:pPr>
          </w:p>
        </w:tc>
        <w:tc>
          <w:tcPr>
            <w:tcW w:w="379" w:type="dxa"/>
            <w:tcBorders>
              <w:top w:val="nil"/>
              <w:left w:val="nil"/>
              <w:bottom w:val="nil"/>
              <w:right w:val="nil"/>
            </w:tcBorders>
            <w:shd w:val="clear" w:color="auto" w:fill="FFFFFF"/>
            <w:noWrap/>
            <w:tcMar>
              <w:top w:w="12" w:type="dxa"/>
              <w:left w:w="12" w:type="dxa"/>
              <w:right w:w="12" w:type="dxa"/>
            </w:tcMar>
            <w:vAlign w:val="center"/>
          </w:tcPr>
          <w:p w:rsidR="00082093" w:rsidRDefault="00082093">
            <w:pPr>
              <w:jc w:val="right"/>
              <w:rPr>
                <w:rFonts w:ascii="宋体" w:eastAsia="宋体" w:hAnsi="宋体" w:cs="宋体"/>
                <w:color w:val="000000"/>
                <w:sz w:val="24"/>
                <w:szCs w:val="24"/>
              </w:rPr>
            </w:pPr>
          </w:p>
        </w:tc>
        <w:tc>
          <w:tcPr>
            <w:tcW w:w="1432" w:type="dxa"/>
            <w:tcBorders>
              <w:top w:val="nil"/>
              <w:left w:val="nil"/>
              <w:bottom w:val="nil"/>
              <w:right w:val="nil"/>
            </w:tcBorders>
            <w:shd w:val="clear" w:color="auto" w:fill="FFFFFF"/>
            <w:noWrap/>
            <w:tcMar>
              <w:top w:w="12" w:type="dxa"/>
              <w:left w:w="12" w:type="dxa"/>
              <w:right w:w="12" w:type="dxa"/>
            </w:tcMar>
            <w:vAlign w:val="center"/>
          </w:tcPr>
          <w:p w:rsidR="00082093" w:rsidRDefault="00082093">
            <w:pPr>
              <w:widowControl/>
              <w:jc w:val="right"/>
              <w:textAlignment w:val="center"/>
              <w:rPr>
                <w:rFonts w:ascii="宋体" w:eastAsia="宋体" w:hAnsi="宋体" w:cs="宋体"/>
                <w:color w:val="000000"/>
                <w:sz w:val="20"/>
                <w:szCs w:val="20"/>
              </w:rPr>
            </w:pPr>
          </w:p>
        </w:tc>
      </w:tr>
    </w:tbl>
    <w:p w:rsidR="00965073" w:rsidRDefault="00965073">
      <w:pPr>
        <w:jc w:val="left"/>
        <w:rPr>
          <w:rFonts w:ascii="仿宋" w:eastAsia="仿宋" w:hAnsi="仿宋" w:cs="仿宋"/>
          <w:sz w:val="32"/>
        </w:rPr>
      </w:pPr>
    </w:p>
    <w:p w:rsidR="00082093" w:rsidRDefault="00297595">
      <w:pPr>
        <w:jc w:val="left"/>
        <w:rPr>
          <w:rFonts w:ascii="仿宋" w:eastAsia="仿宋" w:hAnsi="仿宋" w:cs="仿宋"/>
          <w:sz w:val="32"/>
        </w:rPr>
      </w:pPr>
      <w:r>
        <w:rPr>
          <w:rFonts w:ascii="仿宋" w:eastAsia="仿宋" w:hAnsi="仿宋" w:cs="仿宋"/>
          <w:sz w:val="32"/>
        </w:rPr>
        <w:lastRenderedPageBreak/>
        <w:t>表2：收入决算表</w:t>
      </w:r>
    </w:p>
    <w:tbl>
      <w:tblPr>
        <w:tblW w:w="3342" w:type="dxa"/>
        <w:tblInd w:w="-1800" w:type="dxa"/>
        <w:tblLook w:val="04A0"/>
      </w:tblPr>
      <w:tblGrid>
        <w:gridCol w:w="1604"/>
        <w:gridCol w:w="1738"/>
      </w:tblGrid>
      <w:tr w:rsidR="005E0579" w:rsidRPr="00243D9D" w:rsidTr="005E0579">
        <w:trPr>
          <w:trHeight w:val="312"/>
        </w:trPr>
        <w:tc>
          <w:tcPr>
            <w:tcW w:w="1604" w:type="dxa"/>
            <w:tcBorders>
              <w:top w:val="nil"/>
              <w:left w:val="nil"/>
              <w:bottom w:val="nil"/>
              <w:right w:val="nil"/>
            </w:tcBorders>
            <w:shd w:val="clear" w:color="auto" w:fill="auto"/>
            <w:noWrap/>
            <w:vAlign w:val="center"/>
            <w:hideMark/>
          </w:tcPr>
          <w:p w:rsidR="005E0579" w:rsidRPr="00243D9D" w:rsidRDefault="005E0579" w:rsidP="00243D9D">
            <w:pPr>
              <w:widowControl/>
              <w:jc w:val="right"/>
              <w:rPr>
                <w:rFonts w:ascii="宋体" w:eastAsia="宋体" w:hAnsi="宋体" w:cs="宋体"/>
                <w:kern w:val="0"/>
                <w:sz w:val="20"/>
                <w:szCs w:val="20"/>
              </w:rPr>
            </w:pPr>
            <w:bookmarkStart w:id="0" w:name="_GoBack"/>
            <w:bookmarkEnd w:id="0"/>
          </w:p>
        </w:tc>
        <w:tc>
          <w:tcPr>
            <w:tcW w:w="1738" w:type="dxa"/>
            <w:tcBorders>
              <w:top w:val="nil"/>
              <w:left w:val="nil"/>
              <w:bottom w:val="nil"/>
              <w:right w:val="nil"/>
            </w:tcBorders>
            <w:shd w:val="clear" w:color="auto" w:fill="auto"/>
            <w:noWrap/>
            <w:vAlign w:val="center"/>
            <w:hideMark/>
          </w:tcPr>
          <w:p w:rsidR="005E0579" w:rsidRPr="00243D9D" w:rsidRDefault="005E0579" w:rsidP="00243D9D">
            <w:pPr>
              <w:widowControl/>
              <w:jc w:val="right"/>
              <w:rPr>
                <w:rFonts w:ascii="宋体" w:eastAsia="宋体" w:hAnsi="宋体" w:cs="宋体"/>
                <w:kern w:val="0"/>
                <w:sz w:val="20"/>
                <w:szCs w:val="20"/>
              </w:rPr>
            </w:pPr>
          </w:p>
        </w:tc>
      </w:tr>
    </w:tbl>
    <w:p w:rsidR="00082093" w:rsidRDefault="00965073">
      <w:pPr>
        <w:jc w:val="left"/>
        <w:rPr>
          <w:rFonts w:ascii="仿宋" w:eastAsia="仿宋" w:hAnsi="仿宋" w:cs="仿宋"/>
          <w:sz w:val="32"/>
        </w:rPr>
      </w:pPr>
      <w:r w:rsidRPr="00965073">
        <w:rPr>
          <w:noProof/>
        </w:rPr>
        <w:drawing>
          <wp:inline distT="0" distB="0" distL="0" distR="0">
            <wp:extent cx="5274310" cy="2845674"/>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74310" cy="2845674"/>
                    </a:xfrm>
                    <a:prstGeom prst="rect">
                      <a:avLst/>
                    </a:prstGeom>
                    <a:noFill/>
                    <a:ln w="9525">
                      <a:noFill/>
                      <a:miter lim="800000"/>
                      <a:headEnd/>
                      <a:tailEnd/>
                    </a:ln>
                  </pic:spPr>
                </pic:pic>
              </a:graphicData>
            </a:graphic>
          </wp:inline>
        </w:drawing>
      </w:r>
    </w:p>
    <w:p w:rsidR="00082093" w:rsidRDefault="00297595">
      <w:pPr>
        <w:jc w:val="left"/>
        <w:rPr>
          <w:rFonts w:ascii="仿宋" w:eastAsia="仿宋" w:hAnsi="仿宋" w:cs="仿宋"/>
          <w:sz w:val="32"/>
        </w:rPr>
      </w:pPr>
      <w:r>
        <w:rPr>
          <w:rFonts w:ascii="仿宋" w:eastAsia="仿宋" w:hAnsi="仿宋" w:cs="仿宋"/>
          <w:sz w:val="32"/>
        </w:rPr>
        <w:t>表3：支出决算表</w:t>
      </w:r>
    </w:p>
    <w:p w:rsidR="00082093" w:rsidRDefault="004C1283">
      <w:pPr>
        <w:jc w:val="left"/>
        <w:rPr>
          <w:rFonts w:ascii="仿宋" w:eastAsia="仿宋" w:hAnsi="仿宋" w:cs="仿宋"/>
          <w:sz w:val="32"/>
        </w:rPr>
      </w:pPr>
      <w:r w:rsidRPr="004C1283">
        <w:rPr>
          <w:noProof/>
        </w:rPr>
        <w:drawing>
          <wp:inline distT="0" distB="0" distL="0" distR="0">
            <wp:extent cx="5274310" cy="2985781"/>
            <wp:effectExtent l="19050" t="0" r="254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274310" cy="2985781"/>
                    </a:xfrm>
                    <a:prstGeom prst="rect">
                      <a:avLst/>
                    </a:prstGeom>
                    <a:noFill/>
                    <a:ln w="9525">
                      <a:noFill/>
                      <a:miter lim="800000"/>
                      <a:headEnd/>
                      <a:tailEnd/>
                    </a:ln>
                  </pic:spPr>
                </pic:pic>
              </a:graphicData>
            </a:graphic>
          </wp:inline>
        </w:drawing>
      </w:r>
    </w:p>
    <w:p w:rsidR="00082093" w:rsidRDefault="00297595">
      <w:pPr>
        <w:jc w:val="left"/>
        <w:rPr>
          <w:rFonts w:ascii="仿宋" w:eastAsia="仿宋" w:hAnsi="仿宋" w:cs="仿宋"/>
          <w:sz w:val="32"/>
        </w:rPr>
      </w:pPr>
      <w:r>
        <w:rPr>
          <w:rFonts w:ascii="仿宋" w:eastAsia="仿宋" w:hAnsi="仿宋" w:cs="仿宋"/>
          <w:sz w:val="32"/>
        </w:rPr>
        <w:t>表4：财政拨款收入支出决算总表</w:t>
      </w:r>
    </w:p>
    <w:p w:rsidR="004C1283" w:rsidRDefault="004C1283">
      <w:pPr>
        <w:jc w:val="left"/>
        <w:rPr>
          <w:rFonts w:ascii="仿宋" w:eastAsia="仿宋" w:hAnsi="仿宋" w:cs="仿宋"/>
          <w:sz w:val="32"/>
        </w:rPr>
      </w:pPr>
      <w:r w:rsidRPr="004C1283">
        <w:rPr>
          <w:noProof/>
        </w:rPr>
        <w:lastRenderedPageBreak/>
        <w:drawing>
          <wp:inline distT="0" distB="0" distL="0" distR="0">
            <wp:extent cx="5274310" cy="2807359"/>
            <wp:effectExtent l="19050" t="0" r="254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274310" cy="2807359"/>
                    </a:xfrm>
                    <a:prstGeom prst="rect">
                      <a:avLst/>
                    </a:prstGeom>
                    <a:noFill/>
                    <a:ln w="9525">
                      <a:noFill/>
                      <a:miter lim="800000"/>
                      <a:headEnd/>
                      <a:tailEnd/>
                    </a:ln>
                  </pic:spPr>
                </pic:pic>
              </a:graphicData>
            </a:graphic>
          </wp:inline>
        </w:drawing>
      </w:r>
    </w:p>
    <w:p w:rsidR="00082093" w:rsidRDefault="00297595">
      <w:pPr>
        <w:jc w:val="left"/>
        <w:rPr>
          <w:rFonts w:ascii="仿宋" w:eastAsia="仿宋" w:hAnsi="仿宋" w:cs="仿宋"/>
          <w:sz w:val="32"/>
        </w:rPr>
      </w:pPr>
      <w:r>
        <w:rPr>
          <w:rFonts w:ascii="仿宋" w:eastAsia="仿宋" w:hAnsi="仿宋" w:cs="仿宋"/>
          <w:sz w:val="32"/>
        </w:rPr>
        <w:t>表5：一般公共预算财政拨款支出决算表</w:t>
      </w:r>
    </w:p>
    <w:p w:rsidR="004C1283" w:rsidRDefault="004C1283">
      <w:pPr>
        <w:jc w:val="left"/>
        <w:rPr>
          <w:rFonts w:ascii="仿宋" w:eastAsia="仿宋" w:hAnsi="仿宋" w:cs="仿宋"/>
          <w:sz w:val="32"/>
        </w:rPr>
      </w:pPr>
      <w:r w:rsidRPr="004C1283">
        <w:rPr>
          <w:noProof/>
        </w:rPr>
        <w:drawing>
          <wp:inline distT="0" distB="0" distL="0" distR="0">
            <wp:extent cx="5274310" cy="2964428"/>
            <wp:effectExtent l="19050" t="0" r="254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274310" cy="2964428"/>
                    </a:xfrm>
                    <a:prstGeom prst="rect">
                      <a:avLst/>
                    </a:prstGeom>
                    <a:noFill/>
                    <a:ln w="9525">
                      <a:noFill/>
                      <a:miter lim="800000"/>
                      <a:headEnd/>
                      <a:tailEnd/>
                    </a:ln>
                  </pic:spPr>
                </pic:pic>
              </a:graphicData>
            </a:graphic>
          </wp:inline>
        </w:drawing>
      </w: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082093" w:rsidRDefault="00297595">
      <w:pPr>
        <w:jc w:val="left"/>
        <w:rPr>
          <w:rFonts w:ascii="仿宋" w:eastAsia="仿宋" w:hAnsi="仿宋" w:cs="仿宋"/>
          <w:sz w:val="32"/>
        </w:rPr>
      </w:pPr>
      <w:r>
        <w:rPr>
          <w:rFonts w:ascii="仿宋" w:eastAsia="仿宋" w:hAnsi="仿宋" w:cs="仿宋"/>
          <w:sz w:val="32"/>
        </w:rPr>
        <w:lastRenderedPageBreak/>
        <w:t>表6：一般公共预算财政拨款基本支出决算表</w:t>
      </w:r>
    </w:p>
    <w:p w:rsidR="004C1283" w:rsidRDefault="008C5394">
      <w:pPr>
        <w:jc w:val="left"/>
        <w:rPr>
          <w:rFonts w:ascii="仿宋" w:eastAsia="仿宋" w:hAnsi="仿宋" w:cs="仿宋"/>
          <w:sz w:val="32"/>
        </w:rPr>
      </w:pPr>
      <w:r w:rsidRPr="008C5394">
        <w:rPr>
          <w:noProof/>
        </w:rPr>
        <w:drawing>
          <wp:inline distT="0" distB="0" distL="0" distR="0">
            <wp:extent cx="5274310" cy="5786319"/>
            <wp:effectExtent l="19050" t="0" r="2540" b="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274310" cy="5786319"/>
                    </a:xfrm>
                    <a:prstGeom prst="rect">
                      <a:avLst/>
                    </a:prstGeom>
                    <a:noFill/>
                    <a:ln w="9525">
                      <a:noFill/>
                      <a:miter lim="800000"/>
                      <a:headEnd/>
                      <a:tailEnd/>
                    </a:ln>
                  </pic:spPr>
                </pic:pic>
              </a:graphicData>
            </a:graphic>
          </wp:inline>
        </w:drawing>
      </w: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8C5394" w:rsidRDefault="008C5394">
      <w:pPr>
        <w:jc w:val="left"/>
        <w:rPr>
          <w:rFonts w:ascii="仿宋" w:eastAsia="仿宋" w:hAnsi="仿宋" w:cs="仿宋"/>
          <w:sz w:val="32"/>
        </w:rPr>
      </w:pPr>
    </w:p>
    <w:p w:rsidR="00082093" w:rsidRDefault="00297595">
      <w:pPr>
        <w:jc w:val="left"/>
        <w:rPr>
          <w:rFonts w:ascii="仿宋" w:eastAsia="仿宋" w:hAnsi="仿宋" w:cs="仿宋"/>
          <w:sz w:val="32"/>
        </w:rPr>
      </w:pPr>
      <w:r>
        <w:rPr>
          <w:rFonts w:ascii="仿宋" w:eastAsia="仿宋" w:hAnsi="仿宋" w:cs="仿宋"/>
          <w:sz w:val="32"/>
        </w:rPr>
        <w:lastRenderedPageBreak/>
        <w:t>表7：一般公共预算财政拨款“三公”经费支出决算表</w:t>
      </w:r>
    </w:p>
    <w:p w:rsidR="007653F3" w:rsidRPr="004C1283" w:rsidRDefault="004C1283">
      <w:pPr>
        <w:jc w:val="left"/>
        <w:rPr>
          <w:rFonts w:ascii="仿宋" w:eastAsia="仿宋" w:hAnsi="仿宋" w:cs="仿宋"/>
          <w:sz w:val="32"/>
        </w:rPr>
      </w:pPr>
      <w:r w:rsidRPr="004C1283">
        <w:rPr>
          <w:noProof/>
        </w:rPr>
        <w:drawing>
          <wp:inline distT="0" distB="0" distL="0" distR="0">
            <wp:extent cx="5274310" cy="4206656"/>
            <wp:effectExtent l="1905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274310" cy="4206656"/>
                    </a:xfrm>
                    <a:prstGeom prst="rect">
                      <a:avLst/>
                    </a:prstGeom>
                    <a:noFill/>
                    <a:ln w="9525">
                      <a:noFill/>
                      <a:miter lim="800000"/>
                      <a:headEnd/>
                      <a:tailEnd/>
                    </a:ln>
                  </pic:spPr>
                </pic:pic>
              </a:graphicData>
            </a:graphic>
          </wp:inline>
        </w:drawing>
      </w:r>
    </w:p>
    <w:p w:rsidR="00082093" w:rsidRDefault="00297595">
      <w:pPr>
        <w:jc w:val="left"/>
        <w:rPr>
          <w:rFonts w:ascii="仿宋" w:eastAsia="仿宋" w:hAnsi="仿宋" w:cs="仿宋"/>
          <w:sz w:val="32"/>
        </w:rPr>
      </w:pPr>
      <w:r>
        <w:rPr>
          <w:rFonts w:ascii="仿宋" w:eastAsia="仿宋" w:hAnsi="仿宋" w:cs="仿宋"/>
          <w:sz w:val="32"/>
        </w:rPr>
        <w:t>表8：政府性基金预算财政拨款收入支出决算表</w:t>
      </w:r>
    </w:p>
    <w:p w:rsidR="00082093" w:rsidRDefault="004C1283">
      <w:pPr>
        <w:jc w:val="left"/>
        <w:rPr>
          <w:rFonts w:ascii="仿宋" w:eastAsia="仿宋" w:hAnsi="仿宋" w:cs="仿宋"/>
          <w:b/>
          <w:sz w:val="32"/>
        </w:rPr>
      </w:pPr>
      <w:r w:rsidRPr="004C1283">
        <w:rPr>
          <w:noProof/>
        </w:rPr>
        <w:drawing>
          <wp:inline distT="0" distB="0" distL="0" distR="0">
            <wp:extent cx="5274310" cy="1565744"/>
            <wp:effectExtent l="19050" t="0" r="2540"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274310" cy="1565744"/>
                    </a:xfrm>
                    <a:prstGeom prst="rect">
                      <a:avLst/>
                    </a:prstGeom>
                    <a:noFill/>
                    <a:ln w="9525">
                      <a:noFill/>
                      <a:miter lim="800000"/>
                      <a:headEnd/>
                      <a:tailEnd/>
                    </a:ln>
                  </pic:spPr>
                </pic:pic>
              </a:graphicData>
            </a:graphic>
          </wp:inline>
        </w:drawing>
      </w:r>
    </w:p>
    <w:p w:rsidR="00082093" w:rsidRDefault="00297595">
      <w:pPr>
        <w:ind w:firstLine="643"/>
        <w:jc w:val="left"/>
        <w:rPr>
          <w:rFonts w:ascii="仿宋" w:eastAsia="仿宋" w:hAnsi="仿宋" w:cs="仿宋"/>
          <w:sz w:val="32"/>
        </w:rPr>
      </w:pPr>
      <w:r>
        <w:rPr>
          <w:rFonts w:ascii="仿宋" w:eastAsia="仿宋" w:hAnsi="仿宋" w:cs="仿宋"/>
          <w:sz w:val="32"/>
        </w:rPr>
        <w:t>表8无数据，</w:t>
      </w:r>
      <w:r w:rsidR="00174329">
        <w:rPr>
          <w:rFonts w:ascii="仿宋" w:eastAsia="仿宋" w:hAnsi="仿宋" w:cs="仿宋"/>
          <w:sz w:val="32"/>
        </w:rPr>
        <w:t>应急管理</w:t>
      </w:r>
      <w:r w:rsidR="003A3753">
        <w:rPr>
          <w:rFonts w:ascii="仿宋" w:eastAsia="仿宋" w:hAnsi="仿宋" w:cs="仿宋"/>
          <w:sz w:val="32"/>
        </w:rPr>
        <w:t>局</w:t>
      </w:r>
      <w:r>
        <w:rPr>
          <w:rFonts w:ascii="仿宋" w:eastAsia="仿宋" w:hAnsi="仿宋" w:cs="仿宋"/>
          <w:sz w:val="32"/>
        </w:rPr>
        <w:t>没有政府性基金收入，也没有政府性基金安排的支出，故本表无数据。</w:t>
      </w:r>
    </w:p>
    <w:p w:rsidR="00082093" w:rsidRPr="003A3753" w:rsidRDefault="00082093">
      <w:pPr>
        <w:ind w:firstLine="640"/>
        <w:jc w:val="left"/>
        <w:rPr>
          <w:rFonts w:ascii="仿宋" w:eastAsia="仿宋" w:hAnsi="仿宋" w:cs="仿宋"/>
          <w:sz w:val="32"/>
        </w:rPr>
      </w:pPr>
    </w:p>
    <w:p w:rsidR="008C5394" w:rsidRDefault="008C5394">
      <w:pPr>
        <w:jc w:val="center"/>
        <w:rPr>
          <w:rFonts w:ascii="宋体" w:eastAsia="宋体" w:hAnsi="宋体" w:cs="宋体"/>
          <w:sz w:val="44"/>
        </w:rPr>
      </w:pPr>
    </w:p>
    <w:p w:rsidR="008C5394" w:rsidRDefault="008C5394">
      <w:pPr>
        <w:jc w:val="center"/>
        <w:rPr>
          <w:rFonts w:ascii="宋体" w:eastAsia="宋体" w:hAnsi="宋体" w:cs="宋体"/>
          <w:sz w:val="44"/>
        </w:rPr>
      </w:pPr>
    </w:p>
    <w:p w:rsidR="008C5394" w:rsidRPr="008C5394" w:rsidRDefault="00297595" w:rsidP="008C5394">
      <w:pPr>
        <w:jc w:val="center"/>
        <w:rPr>
          <w:rFonts w:ascii="方正小标宋_GBK" w:eastAsia="方正小标宋_GBK" w:hAnsi="方正小标宋_GBK" w:cs="方正小标宋_GBK"/>
          <w:sz w:val="44"/>
        </w:rPr>
      </w:pPr>
      <w:r>
        <w:rPr>
          <w:rFonts w:ascii="宋体" w:eastAsia="宋体" w:hAnsi="宋体" w:cs="宋体"/>
          <w:sz w:val="44"/>
        </w:rPr>
        <w:lastRenderedPageBreak/>
        <w:t>第三部分</w:t>
      </w:r>
    </w:p>
    <w:p w:rsidR="008C5394" w:rsidRDefault="008C5394">
      <w:pPr>
        <w:jc w:val="center"/>
        <w:rPr>
          <w:rFonts w:ascii="宋体" w:eastAsia="宋体" w:hAnsi="宋体" w:cs="宋体"/>
          <w:sz w:val="44"/>
        </w:rPr>
      </w:pPr>
    </w:p>
    <w:p w:rsidR="00082093" w:rsidRDefault="00297595">
      <w:pPr>
        <w:jc w:val="center"/>
        <w:rPr>
          <w:rFonts w:ascii="宋体" w:eastAsia="宋体" w:hAnsi="宋体" w:cs="宋体"/>
          <w:sz w:val="44"/>
        </w:rPr>
      </w:pPr>
      <w:r>
        <w:rPr>
          <w:rFonts w:ascii="宋体" w:eastAsia="宋体" w:hAnsi="宋体" w:cs="宋体" w:hint="eastAsia"/>
          <w:sz w:val="44"/>
        </w:rPr>
        <w:t>沅江市应急管理局</w:t>
      </w:r>
    </w:p>
    <w:p w:rsidR="00082093" w:rsidRPr="008C5394" w:rsidRDefault="00297595" w:rsidP="008C5394">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宋体" w:eastAsia="宋体" w:hAnsi="宋体" w:cs="宋体"/>
          <w:sz w:val="44"/>
        </w:rPr>
        <w:t>年度部门决算情况说明</w:t>
      </w:r>
    </w:p>
    <w:p w:rsidR="00082093" w:rsidRDefault="00297595">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应急管理局2019</w:t>
      </w:r>
      <w:r>
        <w:rPr>
          <w:rFonts w:ascii="黑体" w:eastAsia="黑体" w:hAnsi="黑体" w:cs="黑体"/>
          <w:sz w:val="32"/>
        </w:rPr>
        <w:t>年度收入支出决算总体情况说明</w:t>
      </w:r>
    </w:p>
    <w:p w:rsidR="00082093" w:rsidRDefault="00297595" w:rsidP="000446FD">
      <w:pPr>
        <w:spacing w:line="360" w:lineRule="auto"/>
        <w:ind w:firstLine="640"/>
        <w:rPr>
          <w:rFonts w:ascii="仿宋" w:eastAsia="仿宋" w:hAnsi="仿宋" w:cs="仿宋"/>
          <w:sz w:val="32"/>
        </w:rPr>
      </w:pPr>
      <w:r>
        <w:rPr>
          <w:rFonts w:ascii="仿宋" w:eastAsia="仿宋" w:hAnsi="仿宋" w:cs="仿宋" w:hint="eastAsia"/>
          <w:sz w:val="32"/>
        </w:rPr>
        <w:t>应急管理局</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492</w:t>
      </w:r>
      <w:r w:rsidR="00D549A6">
        <w:rPr>
          <w:rFonts w:ascii="仿宋" w:eastAsia="仿宋" w:hAnsi="仿宋" w:cs="仿宋" w:hint="eastAsia"/>
          <w:sz w:val="32"/>
        </w:rPr>
        <w:t>.47</w:t>
      </w:r>
      <w:r>
        <w:rPr>
          <w:rFonts w:ascii="仿宋" w:eastAsia="仿宋" w:hAnsi="仿宋" w:cs="仿宋"/>
          <w:sz w:val="32"/>
        </w:rPr>
        <w:t>万元，</w:t>
      </w:r>
      <w:r w:rsidR="000446FD" w:rsidRPr="000446FD">
        <w:rPr>
          <w:rFonts w:ascii="仿宋" w:eastAsia="仿宋" w:hAnsi="仿宋" w:cs="仿宋" w:hint="eastAsia"/>
          <w:sz w:val="32"/>
        </w:rPr>
        <w:t>比上年增减</w:t>
      </w:r>
      <w:r w:rsidR="000446FD" w:rsidRPr="000446FD">
        <w:rPr>
          <w:rFonts w:ascii="仿宋" w:eastAsia="仿宋" w:hAnsi="仿宋" w:cs="仿宋"/>
          <w:sz w:val="32"/>
        </w:rPr>
        <w:t>-73</w:t>
      </w:r>
      <w:r w:rsidR="000446FD" w:rsidRPr="000446FD">
        <w:rPr>
          <w:rFonts w:ascii="仿宋" w:eastAsia="仿宋" w:hAnsi="仿宋" w:cs="仿宋" w:hint="eastAsia"/>
          <w:sz w:val="32"/>
        </w:rPr>
        <w:t>万元，增长</w:t>
      </w:r>
      <w:r w:rsidR="000446FD" w:rsidRPr="000446FD">
        <w:rPr>
          <w:rFonts w:ascii="仿宋" w:eastAsia="仿宋" w:hAnsi="仿宋" w:cs="仿宋"/>
          <w:sz w:val="32"/>
        </w:rPr>
        <w:t>(</w:t>
      </w:r>
      <w:r w:rsidR="000446FD" w:rsidRPr="000446FD">
        <w:rPr>
          <w:rFonts w:ascii="仿宋" w:eastAsia="仿宋" w:hAnsi="仿宋" w:cs="仿宋" w:hint="eastAsia"/>
          <w:sz w:val="32"/>
        </w:rPr>
        <w:t>下降</w:t>
      </w:r>
      <w:r w:rsidR="000446FD" w:rsidRPr="000446FD">
        <w:rPr>
          <w:rFonts w:ascii="仿宋" w:eastAsia="仿宋" w:hAnsi="仿宋" w:cs="仿宋"/>
          <w:sz w:val="32"/>
        </w:rPr>
        <w:t>)-12.96%</w:t>
      </w:r>
      <w:r w:rsidR="000446FD" w:rsidRPr="000446FD">
        <w:rPr>
          <w:rFonts w:ascii="仿宋" w:eastAsia="仿宋" w:hAnsi="仿宋" w:cs="仿宋" w:hint="eastAsia"/>
          <w:sz w:val="32"/>
        </w:rPr>
        <w:t>。主要原因是：财政拔款减少</w:t>
      </w:r>
      <w:r>
        <w:rPr>
          <w:rFonts w:ascii="仿宋" w:eastAsia="仿宋" w:hAnsi="仿宋" w:cs="仿宋"/>
          <w:sz w:val="32"/>
        </w:rPr>
        <w:t>；支出总计</w:t>
      </w:r>
      <w:r w:rsidR="000446FD" w:rsidRPr="000446FD">
        <w:rPr>
          <w:rFonts w:ascii="仿宋" w:eastAsia="仿宋" w:hAnsi="仿宋" w:cs="仿宋" w:hint="eastAsia"/>
          <w:sz w:val="32"/>
        </w:rPr>
        <w:t>本部门支出</w:t>
      </w:r>
      <w:r w:rsidR="000446FD" w:rsidRPr="000446FD">
        <w:rPr>
          <w:rFonts w:ascii="仿宋" w:eastAsia="仿宋" w:hAnsi="仿宋" w:cs="仿宋"/>
          <w:sz w:val="32"/>
        </w:rPr>
        <w:t>482</w:t>
      </w:r>
      <w:r w:rsidR="00D549A6">
        <w:rPr>
          <w:rFonts w:ascii="仿宋" w:eastAsia="仿宋" w:hAnsi="仿宋" w:cs="仿宋" w:hint="eastAsia"/>
          <w:sz w:val="32"/>
        </w:rPr>
        <w:t>.47</w:t>
      </w:r>
      <w:r w:rsidR="000446FD" w:rsidRPr="000446FD">
        <w:rPr>
          <w:rFonts w:ascii="仿宋" w:eastAsia="仿宋" w:hAnsi="仿宋" w:cs="仿宋" w:hint="eastAsia"/>
          <w:sz w:val="32"/>
        </w:rPr>
        <w:t>万元，比上年增减</w:t>
      </w:r>
      <w:r w:rsidR="000446FD" w:rsidRPr="000446FD">
        <w:rPr>
          <w:rFonts w:ascii="仿宋" w:eastAsia="仿宋" w:hAnsi="仿宋" w:cs="仿宋"/>
          <w:sz w:val="32"/>
        </w:rPr>
        <w:t>-161</w:t>
      </w:r>
      <w:r w:rsidR="000446FD" w:rsidRPr="000446FD">
        <w:rPr>
          <w:rFonts w:ascii="仿宋" w:eastAsia="仿宋" w:hAnsi="仿宋" w:cs="仿宋" w:hint="eastAsia"/>
          <w:sz w:val="32"/>
        </w:rPr>
        <w:t>万元，增长</w:t>
      </w:r>
      <w:r w:rsidR="000446FD" w:rsidRPr="000446FD">
        <w:rPr>
          <w:rFonts w:ascii="仿宋" w:eastAsia="仿宋" w:hAnsi="仿宋" w:cs="仿宋"/>
          <w:sz w:val="32"/>
        </w:rPr>
        <w:t>(</w:t>
      </w:r>
      <w:r w:rsidR="000446FD" w:rsidRPr="000446FD">
        <w:rPr>
          <w:rFonts w:ascii="仿宋" w:eastAsia="仿宋" w:hAnsi="仿宋" w:cs="仿宋" w:hint="eastAsia"/>
          <w:sz w:val="32"/>
        </w:rPr>
        <w:t>下降</w:t>
      </w:r>
      <w:r w:rsidR="000446FD" w:rsidRPr="000446FD">
        <w:rPr>
          <w:rFonts w:ascii="仿宋" w:eastAsia="仿宋" w:hAnsi="仿宋" w:cs="仿宋"/>
          <w:sz w:val="32"/>
        </w:rPr>
        <w:t>)-24.97%</w:t>
      </w:r>
      <w:r w:rsidR="000446FD" w:rsidRPr="000446FD">
        <w:rPr>
          <w:rFonts w:ascii="仿宋" w:eastAsia="仿宋" w:hAnsi="仿宋" w:cs="仿宋" w:hint="eastAsia"/>
          <w:sz w:val="32"/>
        </w:rPr>
        <w:t>；变化的主要原因：严控经费财政拔款减少</w:t>
      </w:r>
    </w:p>
    <w:p w:rsidR="00082093" w:rsidRDefault="00297595">
      <w:pPr>
        <w:ind w:left="720"/>
        <w:jc w:val="left"/>
        <w:rPr>
          <w:rFonts w:ascii="黑体" w:eastAsia="黑体" w:hAnsi="黑体" w:cs="黑体"/>
          <w:sz w:val="32"/>
        </w:rPr>
      </w:pPr>
      <w:r>
        <w:rPr>
          <w:rFonts w:ascii="黑体" w:eastAsia="黑体" w:hAnsi="黑体" w:cs="黑体"/>
          <w:sz w:val="32"/>
        </w:rPr>
        <w:t>二、关于</w:t>
      </w:r>
      <w:r w:rsidR="000446FD">
        <w:rPr>
          <w:rFonts w:ascii="黑体" w:eastAsia="黑体" w:hAnsi="黑体" w:cs="黑体" w:hint="eastAsia"/>
          <w:sz w:val="32"/>
        </w:rPr>
        <w:t>应急管理局</w:t>
      </w:r>
      <w:r>
        <w:rPr>
          <w:rFonts w:ascii="黑体" w:eastAsia="黑体" w:hAnsi="黑体" w:cs="黑体"/>
          <w:sz w:val="32"/>
        </w:rPr>
        <w:t>201</w:t>
      </w:r>
      <w:r w:rsidR="000446FD">
        <w:rPr>
          <w:rFonts w:ascii="黑体" w:eastAsia="黑体" w:hAnsi="黑体" w:cs="黑体" w:hint="eastAsia"/>
          <w:sz w:val="32"/>
        </w:rPr>
        <w:t>9</w:t>
      </w:r>
      <w:r>
        <w:rPr>
          <w:rFonts w:ascii="黑体" w:eastAsia="黑体" w:hAnsi="黑体" w:cs="黑体"/>
          <w:sz w:val="32"/>
        </w:rPr>
        <w:t xml:space="preserve"> 年度收入决算情况说明</w:t>
      </w:r>
    </w:p>
    <w:p w:rsidR="00082093" w:rsidRDefault="00297595">
      <w:pPr>
        <w:ind w:firstLine="640"/>
        <w:jc w:val="left"/>
        <w:rPr>
          <w:rFonts w:ascii="仿宋" w:eastAsia="仿宋" w:hAnsi="仿宋" w:cs="仿宋"/>
          <w:sz w:val="32"/>
        </w:rPr>
      </w:pPr>
      <w:r>
        <w:rPr>
          <w:rFonts w:ascii="仿宋" w:eastAsia="仿宋" w:hAnsi="仿宋" w:cs="仿宋"/>
          <w:sz w:val="32"/>
        </w:rPr>
        <w:t>201</w:t>
      </w:r>
      <w:r w:rsidR="000446FD">
        <w:rPr>
          <w:rFonts w:ascii="仿宋" w:eastAsia="仿宋" w:hAnsi="仿宋" w:cs="仿宋" w:hint="eastAsia"/>
          <w:sz w:val="32"/>
        </w:rPr>
        <w:t>9</w:t>
      </w:r>
      <w:r>
        <w:rPr>
          <w:rFonts w:ascii="仿宋" w:eastAsia="仿宋" w:hAnsi="仿宋" w:cs="仿宋"/>
          <w:sz w:val="32"/>
        </w:rPr>
        <w:t>年度收入合计</w:t>
      </w:r>
      <w:r w:rsidR="000446FD">
        <w:rPr>
          <w:rFonts w:ascii="仿宋" w:eastAsia="仿宋" w:hAnsi="仿宋" w:cs="仿宋" w:hint="eastAsia"/>
          <w:sz w:val="32"/>
        </w:rPr>
        <w:t>492</w:t>
      </w:r>
      <w:r w:rsidR="00D549A6">
        <w:rPr>
          <w:rFonts w:ascii="仿宋" w:eastAsia="仿宋" w:hAnsi="仿宋" w:cs="仿宋" w:hint="eastAsia"/>
          <w:sz w:val="32"/>
        </w:rPr>
        <w:t>.47</w:t>
      </w:r>
      <w:r>
        <w:rPr>
          <w:rFonts w:ascii="仿宋" w:eastAsia="仿宋" w:hAnsi="仿宋" w:cs="仿宋"/>
          <w:sz w:val="32"/>
        </w:rPr>
        <w:t>万元，其中：财政拨款收入</w:t>
      </w:r>
      <w:r w:rsidR="000446FD" w:rsidRPr="000446FD">
        <w:rPr>
          <w:rFonts w:ascii="仿宋" w:eastAsia="仿宋" w:hAnsi="仿宋" w:cs="仿宋"/>
          <w:sz w:val="32"/>
        </w:rPr>
        <w:t>484</w:t>
      </w:r>
      <w:r w:rsidR="00D549A6">
        <w:rPr>
          <w:rFonts w:ascii="仿宋" w:eastAsia="仿宋" w:hAnsi="仿宋" w:cs="仿宋" w:hint="eastAsia"/>
          <w:sz w:val="32"/>
        </w:rPr>
        <w:t>.47</w:t>
      </w:r>
      <w:r>
        <w:rPr>
          <w:rFonts w:ascii="仿宋" w:eastAsia="仿宋" w:hAnsi="仿宋" w:cs="仿宋"/>
          <w:sz w:val="32"/>
        </w:rPr>
        <w:t>万元，占</w:t>
      </w:r>
      <w:r w:rsidR="000446FD">
        <w:rPr>
          <w:rFonts w:ascii="仿宋" w:eastAsia="仿宋" w:hAnsi="仿宋" w:cs="仿宋" w:hint="eastAsia"/>
          <w:sz w:val="32"/>
        </w:rPr>
        <w:t>98.37</w:t>
      </w:r>
      <w:r>
        <w:rPr>
          <w:rFonts w:ascii="仿宋" w:eastAsia="仿宋" w:hAnsi="仿宋" w:cs="仿宋"/>
          <w:sz w:val="32"/>
        </w:rPr>
        <w:t>%；事业收入</w:t>
      </w:r>
      <w:r w:rsidR="000446FD">
        <w:rPr>
          <w:rFonts w:ascii="仿宋" w:eastAsia="仿宋" w:hAnsi="仿宋" w:cs="仿宋" w:hint="eastAsia"/>
          <w:sz w:val="32"/>
        </w:rPr>
        <w:t>0</w:t>
      </w:r>
      <w:r>
        <w:rPr>
          <w:rFonts w:ascii="仿宋" w:eastAsia="仿宋" w:hAnsi="仿宋" w:cs="仿宋"/>
          <w:sz w:val="32"/>
        </w:rPr>
        <w:t xml:space="preserve"> 万元，占</w:t>
      </w:r>
      <w:r w:rsidR="000446FD">
        <w:rPr>
          <w:rFonts w:ascii="仿宋" w:eastAsia="仿宋" w:hAnsi="仿宋" w:cs="仿宋" w:hint="eastAsia"/>
          <w:sz w:val="32"/>
        </w:rPr>
        <w:t>0</w:t>
      </w:r>
      <w:r>
        <w:rPr>
          <w:rFonts w:ascii="仿宋" w:eastAsia="仿宋" w:hAnsi="仿宋" w:cs="仿宋"/>
          <w:sz w:val="32"/>
        </w:rPr>
        <w:t>%；经营收入</w:t>
      </w:r>
      <w:r w:rsidR="000446FD">
        <w:rPr>
          <w:rFonts w:ascii="仿宋" w:eastAsia="仿宋" w:hAnsi="仿宋" w:cs="仿宋" w:hint="eastAsia"/>
          <w:sz w:val="32"/>
        </w:rPr>
        <w:t>0</w:t>
      </w:r>
      <w:r>
        <w:rPr>
          <w:rFonts w:ascii="仿宋" w:eastAsia="仿宋" w:hAnsi="仿宋" w:cs="仿宋"/>
          <w:sz w:val="32"/>
        </w:rPr>
        <w:t>万元，占</w:t>
      </w:r>
      <w:r w:rsidR="000446FD">
        <w:rPr>
          <w:rFonts w:ascii="仿宋" w:eastAsia="仿宋" w:hAnsi="仿宋" w:cs="仿宋" w:hint="eastAsia"/>
          <w:sz w:val="32"/>
        </w:rPr>
        <w:t>0</w:t>
      </w:r>
      <w:r>
        <w:rPr>
          <w:rFonts w:ascii="仿宋" w:eastAsia="仿宋" w:hAnsi="仿宋" w:cs="仿宋"/>
          <w:sz w:val="32"/>
        </w:rPr>
        <w:t>%；其他收入</w:t>
      </w:r>
      <w:r w:rsidR="000446FD">
        <w:rPr>
          <w:rFonts w:ascii="仿宋" w:eastAsia="仿宋" w:hAnsi="仿宋" w:cs="仿宋" w:hint="eastAsia"/>
          <w:sz w:val="32"/>
        </w:rPr>
        <w:t>8</w:t>
      </w:r>
      <w:r>
        <w:rPr>
          <w:rFonts w:ascii="仿宋" w:eastAsia="仿宋" w:hAnsi="仿宋" w:cs="仿宋"/>
          <w:sz w:val="32"/>
        </w:rPr>
        <w:t xml:space="preserve"> 万元，占</w:t>
      </w:r>
      <w:r w:rsidR="000446FD">
        <w:rPr>
          <w:rFonts w:ascii="仿宋" w:eastAsia="仿宋" w:hAnsi="仿宋" w:cs="仿宋" w:hint="eastAsia"/>
          <w:sz w:val="32"/>
        </w:rPr>
        <w:t>1.63</w:t>
      </w:r>
      <w:r>
        <w:rPr>
          <w:rFonts w:ascii="仿宋" w:eastAsia="仿宋" w:hAnsi="仿宋" w:cs="仿宋"/>
          <w:sz w:val="32"/>
        </w:rPr>
        <w:t>%</w:t>
      </w:r>
      <w:r w:rsidR="000446FD">
        <w:rPr>
          <w:rFonts w:ascii="仿宋" w:eastAsia="仿宋" w:hAnsi="仿宋" w:cs="仿宋"/>
          <w:sz w:val="32"/>
        </w:rPr>
        <w:t>。</w:t>
      </w:r>
      <w:r>
        <w:rPr>
          <w:rFonts w:ascii="仿宋" w:eastAsia="仿宋" w:hAnsi="仿宋" w:cs="仿宋"/>
          <w:sz w:val="32"/>
        </w:rPr>
        <w:t xml:space="preserve"> </w:t>
      </w:r>
    </w:p>
    <w:p w:rsidR="00082093" w:rsidRDefault="00082093">
      <w:pPr>
        <w:jc w:val="left"/>
        <w:rPr>
          <w:rFonts w:ascii="仿宋" w:eastAsia="仿宋" w:hAnsi="仿宋" w:cs="仿宋"/>
          <w:sz w:val="32"/>
        </w:rPr>
      </w:pPr>
    </w:p>
    <w:p w:rsidR="00082093" w:rsidRDefault="00297595">
      <w:pPr>
        <w:ind w:left="720"/>
        <w:jc w:val="left"/>
        <w:rPr>
          <w:rFonts w:ascii="黑体" w:eastAsia="黑体" w:hAnsi="黑体" w:cs="黑体"/>
          <w:sz w:val="32"/>
        </w:rPr>
      </w:pPr>
      <w:r>
        <w:rPr>
          <w:rFonts w:ascii="黑体" w:eastAsia="黑体" w:hAnsi="黑体" w:cs="黑体"/>
          <w:sz w:val="32"/>
        </w:rPr>
        <w:t>三、关于</w:t>
      </w:r>
      <w:r w:rsidR="000446FD">
        <w:rPr>
          <w:rFonts w:ascii="黑体" w:eastAsia="黑体" w:hAnsi="黑体" w:cs="黑体" w:hint="eastAsia"/>
          <w:sz w:val="32"/>
        </w:rPr>
        <w:t>应急管理局</w:t>
      </w:r>
      <w:r>
        <w:rPr>
          <w:rFonts w:ascii="黑体" w:eastAsia="黑体" w:hAnsi="黑体" w:cs="黑体"/>
          <w:sz w:val="32"/>
        </w:rPr>
        <w:t>201</w:t>
      </w:r>
      <w:r w:rsidR="000446FD">
        <w:rPr>
          <w:rFonts w:ascii="黑体" w:eastAsia="黑体" w:hAnsi="黑体" w:cs="黑体" w:hint="eastAsia"/>
          <w:sz w:val="32"/>
        </w:rPr>
        <w:t>9</w:t>
      </w:r>
      <w:r>
        <w:rPr>
          <w:rFonts w:ascii="黑体" w:eastAsia="黑体" w:hAnsi="黑体" w:cs="黑体"/>
          <w:sz w:val="32"/>
        </w:rPr>
        <w:t>年度支出决算情况说明</w:t>
      </w:r>
    </w:p>
    <w:p w:rsidR="00082093" w:rsidRDefault="00297595">
      <w:pPr>
        <w:ind w:firstLine="640"/>
        <w:jc w:val="left"/>
        <w:rPr>
          <w:rFonts w:ascii="仿宋" w:eastAsia="仿宋" w:hAnsi="仿宋" w:cs="仿宋"/>
          <w:sz w:val="32"/>
        </w:rPr>
      </w:pPr>
      <w:r>
        <w:rPr>
          <w:rFonts w:ascii="仿宋" w:eastAsia="仿宋" w:hAnsi="仿宋" w:cs="仿宋"/>
          <w:sz w:val="32"/>
        </w:rPr>
        <w:t>201</w:t>
      </w:r>
      <w:r w:rsidR="000446FD">
        <w:rPr>
          <w:rFonts w:ascii="仿宋" w:eastAsia="仿宋" w:hAnsi="仿宋" w:cs="仿宋" w:hint="eastAsia"/>
          <w:sz w:val="32"/>
        </w:rPr>
        <w:t>9</w:t>
      </w:r>
      <w:r>
        <w:rPr>
          <w:rFonts w:ascii="仿宋" w:eastAsia="仿宋" w:hAnsi="仿宋" w:cs="仿宋"/>
          <w:sz w:val="32"/>
        </w:rPr>
        <w:t>年度支出合计</w:t>
      </w:r>
      <w:r w:rsidR="000446FD" w:rsidRPr="000446FD">
        <w:rPr>
          <w:rFonts w:ascii="仿宋" w:eastAsia="仿宋" w:hAnsi="仿宋" w:cs="仿宋"/>
          <w:sz w:val="32"/>
        </w:rPr>
        <w:t>482</w:t>
      </w:r>
      <w:r w:rsidR="00D549A6">
        <w:rPr>
          <w:rFonts w:ascii="仿宋" w:eastAsia="仿宋" w:hAnsi="仿宋" w:cs="仿宋" w:hint="eastAsia"/>
          <w:sz w:val="32"/>
        </w:rPr>
        <w:t>.26</w:t>
      </w:r>
      <w:r>
        <w:rPr>
          <w:rFonts w:ascii="仿宋" w:eastAsia="仿宋" w:hAnsi="仿宋" w:cs="仿宋"/>
          <w:sz w:val="32"/>
        </w:rPr>
        <w:t>万元，其中：基本支出</w:t>
      </w:r>
      <w:r w:rsidR="000446FD" w:rsidRPr="000446FD">
        <w:rPr>
          <w:rFonts w:ascii="仿宋" w:eastAsia="仿宋" w:hAnsi="仿宋" w:cs="仿宋"/>
          <w:sz w:val="32"/>
        </w:rPr>
        <w:t>25</w:t>
      </w:r>
      <w:r w:rsidR="00D549A6">
        <w:rPr>
          <w:rFonts w:ascii="仿宋" w:eastAsia="仿宋" w:hAnsi="仿宋" w:cs="仿宋" w:hint="eastAsia"/>
          <w:sz w:val="32"/>
        </w:rPr>
        <w:t>4.77</w:t>
      </w:r>
      <w:r>
        <w:rPr>
          <w:rFonts w:ascii="仿宋" w:eastAsia="仿宋" w:hAnsi="仿宋" w:cs="仿宋"/>
          <w:sz w:val="32"/>
        </w:rPr>
        <w:t xml:space="preserve">万元，占 </w:t>
      </w:r>
      <w:r w:rsidR="000446FD">
        <w:rPr>
          <w:rFonts w:ascii="仿宋" w:eastAsia="仿宋" w:hAnsi="仿宋" w:cs="仿宋" w:hint="eastAsia"/>
          <w:sz w:val="32"/>
        </w:rPr>
        <w:t>52.9</w:t>
      </w:r>
      <w:r>
        <w:rPr>
          <w:rFonts w:ascii="仿宋" w:eastAsia="仿宋" w:hAnsi="仿宋" w:cs="仿宋"/>
          <w:sz w:val="32"/>
        </w:rPr>
        <w:t>%；项目支出</w:t>
      </w:r>
      <w:r w:rsidR="000446FD" w:rsidRPr="000446FD">
        <w:rPr>
          <w:rFonts w:ascii="仿宋" w:eastAsia="仿宋" w:hAnsi="仿宋" w:cs="仿宋"/>
          <w:sz w:val="32"/>
        </w:rPr>
        <w:t>227</w:t>
      </w:r>
      <w:r w:rsidR="00D549A6">
        <w:rPr>
          <w:rFonts w:ascii="仿宋" w:eastAsia="仿宋" w:hAnsi="仿宋" w:cs="仿宋" w:hint="eastAsia"/>
          <w:sz w:val="32"/>
        </w:rPr>
        <w:t>.48</w:t>
      </w:r>
      <w:r>
        <w:rPr>
          <w:rFonts w:ascii="仿宋" w:eastAsia="仿宋" w:hAnsi="仿宋" w:cs="仿宋"/>
          <w:sz w:val="32"/>
        </w:rPr>
        <w:t xml:space="preserve"> 万元，占</w:t>
      </w:r>
      <w:r w:rsidR="000446FD">
        <w:rPr>
          <w:rFonts w:ascii="仿宋" w:eastAsia="仿宋" w:hAnsi="仿宋" w:cs="仿宋" w:hint="eastAsia"/>
          <w:sz w:val="32"/>
        </w:rPr>
        <w:t>47.1</w:t>
      </w:r>
      <w:r>
        <w:rPr>
          <w:rFonts w:ascii="仿宋" w:eastAsia="仿宋" w:hAnsi="仿宋" w:cs="仿宋"/>
          <w:sz w:val="32"/>
        </w:rPr>
        <w:t>%；经营支出</w:t>
      </w:r>
      <w:r w:rsidR="000446FD">
        <w:rPr>
          <w:rFonts w:ascii="仿宋" w:eastAsia="仿宋" w:hAnsi="仿宋" w:cs="仿宋" w:hint="eastAsia"/>
          <w:sz w:val="32"/>
        </w:rPr>
        <w:t>0</w:t>
      </w:r>
      <w:r>
        <w:rPr>
          <w:rFonts w:ascii="仿宋" w:eastAsia="仿宋" w:hAnsi="仿宋" w:cs="仿宋"/>
          <w:sz w:val="32"/>
        </w:rPr>
        <w:t>万元，占</w:t>
      </w:r>
      <w:r w:rsidR="000446FD">
        <w:rPr>
          <w:rFonts w:ascii="仿宋" w:eastAsia="仿宋" w:hAnsi="仿宋" w:cs="仿宋" w:hint="eastAsia"/>
          <w:sz w:val="32"/>
        </w:rPr>
        <w:t>0</w:t>
      </w:r>
      <w:r>
        <w:rPr>
          <w:rFonts w:ascii="仿宋" w:eastAsia="仿宋" w:hAnsi="仿宋" w:cs="仿宋"/>
          <w:sz w:val="32"/>
        </w:rPr>
        <w:t>%</w:t>
      </w:r>
      <w:r w:rsidR="000446FD">
        <w:rPr>
          <w:rFonts w:ascii="仿宋" w:eastAsia="仿宋" w:hAnsi="仿宋" w:cs="仿宋"/>
          <w:sz w:val="32"/>
        </w:rPr>
        <w:t>.</w:t>
      </w:r>
    </w:p>
    <w:p w:rsidR="00082093" w:rsidRDefault="00082093">
      <w:pPr>
        <w:ind w:firstLine="640"/>
        <w:jc w:val="left"/>
        <w:rPr>
          <w:rFonts w:ascii="仿宋" w:eastAsia="仿宋" w:hAnsi="仿宋" w:cs="仿宋"/>
          <w:sz w:val="32"/>
        </w:rPr>
      </w:pPr>
    </w:p>
    <w:p w:rsidR="00082093" w:rsidRDefault="00297595">
      <w:pPr>
        <w:ind w:firstLine="640"/>
        <w:jc w:val="left"/>
        <w:rPr>
          <w:rFonts w:ascii="黑体" w:eastAsia="黑体" w:hAnsi="黑体" w:cs="黑体"/>
          <w:sz w:val="32"/>
        </w:rPr>
      </w:pPr>
      <w:r>
        <w:rPr>
          <w:rFonts w:ascii="黑体" w:eastAsia="黑体" w:hAnsi="黑体" w:cs="黑体"/>
          <w:sz w:val="32"/>
        </w:rPr>
        <w:t xml:space="preserve"> 四、关于</w:t>
      </w:r>
      <w:r w:rsidR="00F13941">
        <w:rPr>
          <w:rFonts w:ascii="黑体" w:eastAsia="黑体" w:hAnsi="黑体" w:cs="黑体" w:hint="eastAsia"/>
          <w:sz w:val="32"/>
        </w:rPr>
        <w:t>应急管理局</w:t>
      </w:r>
      <w:r>
        <w:rPr>
          <w:rFonts w:ascii="黑体" w:eastAsia="黑体" w:hAnsi="黑体" w:cs="黑体"/>
          <w:sz w:val="32"/>
        </w:rPr>
        <w:t>201</w:t>
      </w:r>
      <w:r w:rsidR="00F13941">
        <w:rPr>
          <w:rFonts w:ascii="黑体" w:eastAsia="黑体" w:hAnsi="黑体" w:cs="黑体" w:hint="eastAsia"/>
          <w:sz w:val="32"/>
        </w:rPr>
        <w:t>9</w:t>
      </w:r>
      <w:r>
        <w:rPr>
          <w:rFonts w:ascii="黑体" w:eastAsia="黑体" w:hAnsi="黑体" w:cs="黑体"/>
          <w:sz w:val="32"/>
        </w:rPr>
        <w:t xml:space="preserve"> 年度财政拨款收入支出决</w:t>
      </w:r>
      <w:r>
        <w:rPr>
          <w:rFonts w:ascii="黑体" w:eastAsia="黑体" w:hAnsi="黑体" w:cs="黑体"/>
          <w:sz w:val="32"/>
        </w:rPr>
        <w:lastRenderedPageBreak/>
        <w:t>算总体情况说明</w:t>
      </w:r>
    </w:p>
    <w:p w:rsidR="00D549A6" w:rsidRDefault="00D549A6" w:rsidP="00D549A6">
      <w:pPr>
        <w:spacing w:line="360" w:lineRule="auto"/>
        <w:ind w:firstLine="640"/>
        <w:rPr>
          <w:rFonts w:ascii="仿宋" w:eastAsia="仿宋" w:hAnsi="仿宋" w:cs="仿宋"/>
          <w:sz w:val="32"/>
        </w:rPr>
      </w:pPr>
      <w:r>
        <w:rPr>
          <w:rFonts w:ascii="仿宋" w:eastAsia="仿宋" w:hAnsi="仿宋" w:cs="仿宋" w:hint="eastAsia"/>
          <w:sz w:val="32"/>
        </w:rPr>
        <w:t>应急管理局</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484.47</w:t>
      </w:r>
      <w:r>
        <w:rPr>
          <w:rFonts w:ascii="仿宋" w:eastAsia="仿宋" w:hAnsi="仿宋" w:cs="仿宋"/>
          <w:sz w:val="32"/>
        </w:rPr>
        <w:t>万元，</w:t>
      </w:r>
      <w:r w:rsidRPr="000446FD">
        <w:rPr>
          <w:rFonts w:ascii="仿宋" w:eastAsia="仿宋" w:hAnsi="仿宋" w:cs="仿宋" w:hint="eastAsia"/>
          <w:sz w:val="32"/>
        </w:rPr>
        <w:t>比上年增减</w:t>
      </w:r>
      <w:r w:rsidRPr="000446FD">
        <w:rPr>
          <w:rFonts w:ascii="仿宋" w:eastAsia="仿宋" w:hAnsi="仿宋" w:cs="仿宋"/>
          <w:sz w:val="32"/>
        </w:rPr>
        <w:t>-73</w:t>
      </w:r>
      <w:r w:rsidRPr="000446FD">
        <w:rPr>
          <w:rFonts w:ascii="仿宋" w:eastAsia="仿宋" w:hAnsi="仿宋" w:cs="仿宋" w:hint="eastAsia"/>
          <w:sz w:val="32"/>
        </w:rPr>
        <w:t>万元，增长</w:t>
      </w:r>
      <w:r w:rsidRPr="000446FD">
        <w:rPr>
          <w:rFonts w:ascii="仿宋" w:eastAsia="仿宋" w:hAnsi="仿宋" w:cs="仿宋"/>
          <w:sz w:val="32"/>
        </w:rPr>
        <w:t>(</w:t>
      </w:r>
      <w:r w:rsidRPr="000446FD">
        <w:rPr>
          <w:rFonts w:ascii="仿宋" w:eastAsia="仿宋" w:hAnsi="仿宋" w:cs="仿宋" w:hint="eastAsia"/>
          <w:sz w:val="32"/>
        </w:rPr>
        <w:t>下降</w:t>
      </w:r>
      <w:r w:rsidRPr="000446FD">
        <w:rPr>
          <w:rFonts w:ascii="仿宋" w:eastAsia="仿宋" w:hAnsi="仿宋" w:cs="仿宋"/>
          <w:sz w:val="32"/>
        </w:rPr>
        <w:t>)-12.96%</w:t>
      </w:r>
      <w:r w:rsidRPr="000446FD">
        <w:rPr>
          <w:rFonts w:ascii="仿宋" w:eastAsia="仿宋" w:hAnsi="仿宋" w:cs="仿宋" w:hint="eastAsia"/>
          <w:sz w:val="32"/>
        </w:rPr>
        <w:t>。主要原因是：财政拔款减少</w:t>
      </w:r>
      <w:r>
        <w:rPr>
          <w:rFonts w:ascii="仿宋" w:eastAsia="仿宋" w:hAnsi="仿宋" w:cs="仿宋"/>
          <w:sz w:val="32"/>
        </w:rPr>
        <w:t>；支出总计</w:t>
      </w:r>
      <w:r w:rsidRPr="000446FD">
        <w:rPr>
          <w:rFonts w:ascii="仿宋" w:eastAsia="仿宋" w:hAnsi="仿宋" w:cs="仿宋" w:hint="eastAsia"/>
          <w:sz w:val="32"/>
        </w:rPr>
        <w:t>本部门支出</w:t>
      </w:r>
      <w:r>
        <w:rPr>
          <w:rFonts w:ascii="仿宋" w:eastAsia="仿宋" w:hAnsi="仿宋" w:cs="仿宋" w:hint="eastAsia"/>
          <w:sz w:val="32"/>
        </w:rPr>
        <w:t>474.26</w:t>
      </w:r>
      <w:r w:rsidRPr="000446FD">
        <w:rPr>
          <w:rFonts w:ascii="仿宋" w:eastAsia="仿宋" w:hAnsi="仿宋" w:cs="仿宋" w:hint="eastAsia"/>
          <w:sz w:val="32"/>
        </w:rPr>
        <w:t>万元，比上年增减</w:t>
      </w:r>
      <w:r w:rsidRPr="000446FD">
        <w:rPr>
          <w:rFonts w:ascii="仿宋" w:eastAsia="仿宋" w:hAnsi="仿宋" w:cs="仿宋"/>
          <w:sz w:val="32"/>
        </w:rPr>
        <w:t>-161</w:t>
      </w:r>
      <w:r w:rsidRPr="000446FD">
        <w:rPr>
          <w:rFonts w:ascii="仿宋" w:eastAsia="仿宋" w:hAnsi="仿宋" w:cs="仿宋" w:hint="eastAsia"/>
          <w:sz w:val="32"/>
        </w:rPr>
        <w:t>万元，增长</w:t>
      </w:r>
      <w:r w:rsidRPr="000446FD">
        <w:rPr>
          <w:rFonts w:ascii="仿宋" w:eastAsia="仿宋" w:hAnsi="仿宋" w:cs="仿宋"/>
          <w:sz w:val="32"/>
        </w:rPr>
        <w:t>(</w:t>
      </w:r>
      <w:r w:rsidRPr="000446FD">
        <w:rPr>
          <w:rFonts w:ascii="仿宋" w:eastAsia="仿宋" w:hAnsi="仿宋" w:cs="仿宋" w:hint="eastAsia"/>
          <w:sz w:val="32"/>
        </w:rPr>
        <w:t>下降</w:t>
      </w:r>
      <w:r w:rsidRPr="000446FD">
        <w:rPr>
          <w:rFonts w:ascii="仿宋" w:eastAsia="仿宋" w:hAnsi="仿宋" w:cs="仿宋"/>
          <w:sz w:val="32"/>
        </w:rPr>
        <w:t>)-24.97%</w:t>
      </w:r>
      <w:r w:rsidRPr="000446FD">
        <w:rPr>
          <w:rFonts w:ascii="仿宋" w:eastAsia="仿宋" w:hAnsi="仿宋" w:cs="仿宋" w:hint="eastAsia"/>
          <w:sz w:val="32"/>
        </w:rPr>
        <w:t>；变化的主要原因：严控经费财政拔款减少</w:t>
      </w:r>
    </w:p>
    <w:p w:rsidR="00082093" w:rsidRPr="00D549A6" w:rsidRDefault="00082093" w:rsidP="00F13941">
      <w:pPr>
        <w:ind w:firstLine="640"/>
        <w:jc w:val="left"/>
        <w:rPr>
          <w:rFonts w:ascii="仿宋" w:eastAsia="仿宋" w:hAnsi="仿宋" w:cs="仿宋"/>
          <w:sz w:val="32"/>
        </w:rPr>
      </w:pPr>
    </w:p>
    <w:p w:rsidR="00082093" w:rsidRDefault="00297595">
      <w:pPr>
        <w:ind w:firstLine="640"/>
        <w:jc w:val="left"/>
        <w:rPr>
          <w:rFonts w:ascii="黑体" w:eastAsia="黑体" w:hAnsi="黑体" w:cs="黑体"/>
          <w:sz w:val="32"/>
        </w:rPr>
      </w:pPr>
      <w:r>
        <w:rPr>
          <w:rFonts w:ascii="黑体" w:eastAsia="黑体" w:hAnsi="黑体" w:cs="黑体"/>
          <w:sz w:val="32"/>
        </w:rPr>
        <w:t>五、关于</w:t>
      </w:r>
      <w:r w:rsidR="00D549A6">
        <w:rPr>
          <w:rFonts w:ascii="黑体" w:eastAsia="黑体" w:hAnsi="黑体" w:cs="黑体" w:hint="eastAsia"/>
          <w:sz w:val="32"/>
        </w:rPr>
        <w:t>应急管理局</w:t>
      </w:r>
      <w:r>
        <w:rPr>
          <w:rFonts w:ascii="黑体" w:eastAsia="黑体" w:hAnsi="黑体" w:cs="黑体"/>
          <w:sz w:val="32"/>
        </w:rPr>
        <w:t>201</w:t>
      </w:r>
      <w:r w:rsidR="00D549A6">
        <w:rPr>
          <w:rFonts w:ascii="黑体" w:eastAsia="黑体" w:hAnsi="黑体" w:cs="黑体" w:hint="eastAsia"/>
          <w:sz w:val="32"/>
        </w:rPr>
        <w:t>9</w:t>
      </w:r>
      <w:r>
        <w:rPr>
          <w:rFonts w:ascii="黑体" w:eastAsia="黑体" w:hAnsi="黑体" w:cs="黑体"/>
          <w:sz w:val="32"/>
        </w:rPr>
        <w:t>年度一般公共预算财政拨款收入支出决算情况说明</w:t>
      </w:r>
    </w:p>
    <w:p w:rsidR="00082093" w:rsidRDefault="00297595">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D549A6" w:rsidRDefault="00D549A6" w:rsidP="00D549A6">
      <w:pPr>
        <w:spacing w:line="360" w:lineRule="auto"/>
        <w:ind w:firstLine="640"/>
        <w:rPr>
          <w:rFonts w:ascii="仿宋" w:eastAsia="仿宋" w:hAnsi="仿宋" w:cs="仿宋"/>
          <w:sz w:val="32"/>
        </w:rPr>
      </w:pPr>
      <w:r>
        <w:rPr>
          <w:rFonts w:ascii="仿宋" w:eastAsia="仿宋" w:hAnsi="仿宋" w:cs="仿宋" w:hint="eastAsia"/>
          <w:sz w:val="32"/>
        </w:rPr>
        <w:t>应急管理局</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484.47</w:t>
      </w:r>
      <w:r>
        <w:rPr>
          <w:rFonts w:ascii="仿宋" w:eastAsia="仿宋" w:hAnsi="仿宋" w:cs="仿宋"/>
          <w:sz w:val="32"/>
        </w:rPr>
        <w:t>万元，</w:t>
      </w:r>
      <w:r w:rsidRPr="000446FD">
        <w:rPr>
          <w:rFonts w:ascii="仿宋" w:eastAsia="仿宋" w:hAnsi="仿宋" w:cs="仿宋" w:hint="eastAsia"/>
          <w:sz w:val="32"/>
        </w:rPr>
        <w:t>比上年增减</w:t>
      </w:r>
      <w:r w:rsidRPr="000446FD">
        <w:rPr>
          <w:rFonts w:ascii="仿宋" w:eastAsia="仿宋" w:hAnsi="仿宋" w:cs="仿宋"/>
          <w:sz w:val="32"/>
        </w:rPr>
        <w:t>-73</w:t>
      </w:r>
      <w:r w:rsidRPr="000446FD">
        <w:rPr>
          <w:rFonts w:ascii="仿宋" w:eastAsia="仿宋" w:hAnsi="仿宋" w:cs="仿宋" w:hint="eastAsia"/>
          <w:sz w:val="32"/>
        </w:rPr>
        <w:t>万元，增长</w:t>
      </w:r>
      <w:r w:rsidRPr="000446FD">
        <w:rPr>
          <w:rFonts w:ascii="仿宋" w:eastAsia="仿宋" w:hAnsi="仿宋" w:cs="仿宋"/>
          <w:sz w:val="32"/>
        </w:rPr>
        <w:t>(</w:t>
      </w:r>
      <w:r w:rsidRPr="000446FD">
        <w:rPr>
          <w:rFonts w:ascii="仿宋" w:eastAsia="仿宋" w:hAnsi="仿宋" w:cs="仿宋" w:hint="eastAsia"/>
          <w:sz w:val="32"/>
        </w:rPr>
        <w:t>下降</w:t>
      </w:r>
      <w:r w:rsidRPr="000446FD">
        <w:rPr>
          <w:rFonts w:ascii="仿宋" w:eastAsia="仿宋" w:hAnsi="仿宋" w:cs="仿宋"/>
          <w:sz w:val="32"/>
        </w:rPr>
        <w:t>)-12.96%</w:t>
      </w:r>
      <w:r w:rsidRPr="000446FD">
        <w:rPr>
          <w:rFonts w:ascii="仿宋" w:eastAsia="仿宋" w:hAnsi="仿宋" w:cs="仿宋" w:hint="eastAsia"/>
          <w:sz w:val="32"/>
        </w:rPr>
        <w:t>。主要原因是：财政拔款减少</w:t>
      </w:r>
      <w:r>
        <w:rPr>
          <w:rFonts w:ascii="仿宋" w:eastAsia="仿宋" w:hAnsi="仿宋" w:cs="仿宋"/>
          <w:sz w:val="32"/>
        </w:rPr>
        <w:t>；支出总计</w:t>
      </w:r>
      <w:r w:rsidRPr="000446FD">
        <w:rPr>
          <w:rFonts w:ascii="仿宋" w:eastAsia="仿宋" w:hAnsi="仿宋" w:cs="仿宋" w:hint="eastAsia"/>
          <w:sz w:val="32"/>
        </w:rPr>
        <w:t>本部门支出</w:t>
      </w:r>
      <w:r>
        <w:rPr>
          <w:rFonts w:ascii="仿宋" w:eastAsia="仿宋" w:hAnsi="仿宋" w:cs="仿宋" w:hint="eastAsia"/>
          <w:sz w:val="32"/>
        </w:rPr>
        <w:t>474.26</w:t>
      </w:r>
      <w:r w:rsidRPr="000446FD">
        <w:rPr>
          <w:rFonts w:ascii="仿宋" w:eastAsia="仿宋" w:hAnsi="仿宋" w:cs="仿宋" w:hint="eastAsia"/>
          <w:sz w:val="32"/>
        </w:rPr>
        <w:t>万元，比上年增减</w:t>
      </w:r>
      <w:r w:rsidRPr="000446FD">
        <w:rPr>
          <w:rFonts w:ascii="仿宋" w:eastAsia="仿宋" w:hAnsi="仿宋" w:cs="仿宋"/>
          <w:sz w:val="32"/>
        </w:rPr>
        <w:t>-161</w:t>
      </w:r>
      <w:r w:rsidRPr="000446FD">
        <w:rPr>
          <w:rFonts w:ascii="仿宋" w:eastAsia="仿宋" w:hAnsi="仿宋" w:cs="仿宋" w:hint="eastAsia"/>
          <w:sz w:val="32"/>
        </w:rPr>
        <w:t>万元，增长</w:t>
      </w:r>
      <w:r w:rsidRPr="000446FD">
        <w:rPr>
          <w:rFonts w:ascii="仿宋" w:eastAsia="仿宋" w:hAnsi="仿宋" w:cs="仿宋"/>
          <w:sz w:val="32"/>
        </w:rPr>
        <w:t>(</w:t>
      </w:r>
      <w:r w:rsidRPr="000446FD">
        <w:rPr>
          <w:rFonts w:ascii="仿宋" w:eastAsia="仿宋" w:hAnsi="仿宋" w:cs="仿宋" w:hint="eastAsia"/>
          <w:sz w:val="32"/>
        </w:rPr>
        <w:t>下降</w:t>
      </w:r>
      <w:r w:rsidRPr="000446FD">
        <w:rPr>
          <w:rFonts w:ascii="仿宋" w:eastAsia="仿宋" w:hAnsi="仿宋" w:cs="仿宋"/>
          <w:sz w:val="32"/>
        </w:rPr>
        <w:t>)-24.97%</w:t>
      </w:r>
      <w:r w:rsidRPr="000446FD">
        <w:rPr>
          <w:rFonts w:ascii="仿宋" w:eastAsia="仿宋" w:hAnsi="仿宋" w:cs="仿宋" w:hint="eastAsia"/>
          <w:sz w:val="32"/>
        </w:rPr>
        <w:t>；变化的主要原因：严控经费财政拔款减少</w:t>
      </w:r>
    </w:p>
    <w:p w:rsidR="00082093" w:rsidRDefault="00297595">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D549A6" w:rsidRDefault="00297595" w:rsidP="00D549A6">
      <w:pPr>
        <w:snapToGrid w:val="0"/>
        <w:spacing w:line="600" w:lineRule="exact"/>
        <w:ind w:firstLineChars="200" w:firstLine="640"/>
        <w:rPr>
          <w:rFonts w:ascii="仿宋_GB2312" w:eastAsia="仿宋_GB2312" w:hAnsi="仿宋_GB2312"/>
          <w:sz w:val="28"/>
          <w:szCs w:val="24"/>
        </w:rPr>
      </w:pPr>
      <w:r>
        <w:rPr>
          <w:rFonts w:ascii="仿宋" w:eastAsia="仿宋" w:hAnsi="仿宋" w:cs="仿宋"/>
          <w:sz w:val="32"/>
        </w:rPr>
        <w:t xml:space="preserve">  </w:t>
      </w:r>
      <w:r w:rsidR="00D549A6">
        <w:rPr>
          <w:rFonts w:ascii="仿宋_GB2312" w:eastAsia="仿宋_GB2312" w:hAnsi="仿宋_GB2312" w:hint="eastAsia"/>
          <w:sz w:val="28"/>
          <w:szCs w:val="24"/>
        </w:rPr>
        <w:t>本局各项支出</w:t>
      </w:r>
      <w:r w:rsidR="00D549A6">
        <w:rPr>
          <w:rFonts w:ascii="仿宋_GB2312" w:eastAsia="仿宋_GB2312" w:hAnsi="仿宋_GB2312"/>
          <w:sz w:val="28"/>
          <w:szCs w:val="24"/>
        </w:rPr>
        <w:t>474.26</w:t>
      </w:r>
      <w:r w:rsidR="00D549A6">
        <w:rPr>
          <w:rFonts w:ascii="仿宋_GB2312" w:eastAsia="仿宋_GB2312" w:hAnsi="仿宋_GB2312" w:hint="eastAsia"/>
          <w:sz w:val="28"/>
          <w:szCs w:val="24"/>
        </w:rPr>
        <w:t>万元，各项支出的比重为：</w:t>
      </w:r>
    </w:p>
    <w:p w:rsidR="00D549A6" w:rsidRDefault="00D549A6" w:rsidP="00D549A6">
      <w:pPr>
        <w:snapToGrid w:val="0"/>
        <w:ind w:firstLineChars="200" w:firstLine="200"/>
        <w:rPr>
          <w:rFonts w:ascii="仿宋" w:eastAsia="仿宋" w:hAnsi="仿宋"/>
          <w:sz w:val="10"/>
          <w:szCs w:val="24"/>
        </w:rPr>
      </w:pPr>
    </w:p>
    <w:p w:rsidR="00D549A6" w:rsidRDefault="00D549A6" w:rsidP="00D549A6">
      <w:pPr>
        <w:snapToGrid w:val="0"/>
        <w:ind w:firstLineChars="200" w:firstLine="200"/>
        <w:rPr>
          <w:rFonts w:ascii="仿宋" w:eastAsia="仿宋" w:hAnsi="仿宋"/>
          <w:sz w:val="10"/>
          <w:szCs w:val="24"/>
        </w:rPr>
      </w:pPr>
    </w:p>
    <w:p w:rsidR="00D549A6" w:rsidRDefault="00D549A6" w:rsidP="00D549A6">
      <w:pPr>
        <w:snapToGrid w:val="0"/>
        <w:ind w:firstLineChars="200" w:firstLine="200"/>
        <w:rPr>
          <w:rFonts w:ascii="仿宋" w:eastAsia="仿宋" w:hAnsi="仿宋"/>
          <w:sz w:val="10"/>
          <w:szCs w:val="24"/>
        </w:rPr>
      </w:pPr>
    </w:p>
    <w:p w:rsidR="00D549A6" w:rsidRDefault="00D549A6" w:rsidP="00D549A6">
      <w:pPr>
        <w:snapToGrid w:val="0"/>
        <w:ind w:firstLineChars="200" w:firstLine="200"/>
        <w:rPr>
          <w:rFonts w:ascii="仿宋" w:eastAsia="仿宋" w:hAnsi="仿宋"/>
          <w:sz w:val="10"/>
          <w:szCs w:val="24"/>
        </w:rPr>
      </w:pPr>
    </w:p>
    <w:tbl>
      <w:tblPr>
        <w:tblW w:w="0" w:type="auto"/>
        <w:tblInd w:w="93" w:type="dxa"/>
        <w:tblLayout w:type="fixed"/>
        <w:tblLook w:val="0000"/>
      </w:tblPr>
      <w:tblGrid>
        <w:gridCol w:w="1080"/>
        <w:gridCol w:w="3188"/>
        <w:gridCol w:w="2268"/>
        <w:gridCol w:w="1701"/>
      </w:tblGrid>
      <w:tr w:rsidR="00D549A6" w:rsidTr="00D07355">
        <w:trPr>
          <w:trHeight w:val="70"/>
        </w:trPr>
        <w:tc>
          <w:tcPr>
            <w:tcW w:w="1080" w:type="dxa"/>
            <w:tcBorders>
              <w:top w:val="single" w:sz="4" w:space="0" w:color="auto"/>
              <w:left w:val="single" w:sz="4" w:space="0" w:color="auto"/>
              <w:bottom w:val="single" w:sz="4" w:space="0" w:color="auto"/>
              <w:right w:val="single" w:sz="4" w:space="0" w:color="auto"/>
            </w:tcBorders>
            <w:vAlign w:val="center"/>
          </w:tcPr>
          <w:p w:rsidR="00D549A6" w:rsidRDefault="00D549A6" w:rsidP="00D07355">
            <w:pPr>
              <w:spacing w:line="300" w:lineRule="exact"/>
              <w:jc w:val="center"/>
              <w:rPr>
                <w:rFonts w:ascii="仿宋" w:eastAsia="仿宋" w:hAnsi="仿宋"/>
                <w:color w:val="000000"/>
                <w:kern w:val="0"/>
                <w:sz w:val="22"/>
                <w:szCs w:val="24"/>
              </w:rPr>
            </w:pPr>
            <w:r>
              <w:rPr>
                <w:rFonts w:ascii="仿宋" w:eastAsia="仿宋" w:hAnsi="仿宋" w:hint="eastAsia"/>
                <w:color w:val="000000"/>
                <w:kern w:val="0"/>
                <w:sz w:val="22"/>
                <w:szCs w:val="24"/>
              </w:rPr>
              <w:t>序号</w:t>
            </w:r>
          </w:p>
        </w:tc>
        <w:tc>
          <w:tcPr>
            <w:tcW w:w="3188" w:type="dxa"/>
            <w:tcBorders>
              <w:top w:val="single" w:sz="4" w:space="0" w:color="auto"/>
              <w:left w:val="nil"/>
              <w:bottom w:val="single" w:sz="4" w:space="0" w:color="auto"/>
              <w:right w:val="single" w:sz="4" w:space="0" w:color="auto"/>
            </w:tcBorders>
            <w:vAlign w:val="center"/>
          </w:tcPr>
          <w:p w:rsidR="00D549A6" w:rsidRDefault="00D549A6" w:rsidP="00D07355">
            <w:pPr>
              <w:spacing w:line="300" w:lineRule="exact"/>
              <w:jc w:val="center"/>
              <w:rPr>
                <w:rFonts w:ascii="仿宋" w:eastAsia="仿宋" w:hAnsi="仿宋"/>
                <w:color w:val="000000"/>
                <w:kern w:val="0"/>
                <w:sz w:val="22"/>
                <w:szCs w:val="24"/>
              </w:rPr>
            </w:pPr>
            <w:r>
              <w:rPr>
                <w:rFonts w:ascii="仿宋" w:eastAsia="仿宋" w:hAnsi="仿宋" w:hint="eastAsia"/>
                <w:color w:val="000000"/>
                <w:kern w:val="0"/>
                <w:sz w:val="22"/>
                <w:szCs w:val="24"/>
              </w:rPr>
              <w:t>按功能科目分类</w:t>
            </w:r>
          </w:p>
        </w:tc>
        <w:tc>
          <w:tcPr>
            <w:tcW w:w="2268" w:type="dxa"/>
            <w:tcBorders>
              <w:top w:val="single" w:sz="4" w:space="0" w:color="auto"/>
              <w:left w:val="nil"/>
              <w:bottom w:val="single" w:sz="4" w:space="0" w:color="auto"/>
              <w:right w:val="single" w:sz="4" w:space="0" w:color="auto"/>
            </w:tcBorders>
            <w:vAlign w:val="center"/>
          </w:tcPr>
          <w:p w:rsidR="00D549A6" w:rsidRDefault="00D549A6" w:rsidP="00D07355">
            <w:pPr>
              <w:spacing w:line="300" w:lineRule="exact"/>
              <w:jc w:val="center"/>
              <w:rPr>
                <w:rFonts w:ascii="仿宋" w:eastAsia="仿宋" w:hAnsi="仿宋"/>
                <w:color w:val="000000"/>
                <w:kern w:val="0"/>
                <w:sz w:val="22"/>
                <w:szCs w:val="24"/>
              </w:rPr>
            </w:pPr>
            <w:r>
              <w:rPr>
                <w:rFonts w:ascii="仿宋" w:eastAsia="仿宋" w:hAnsi="仿宋" w:hint="eastAsia"/>
                <w:color w:val="000000"/>
                <w:kern w:val="0"/>
                <w:sz w:val="22"/>
                <w:szCs w:val="24"/>
              </w:rPr>
              <w:t>金额</w:t>
            </w:r>
          </w:p>
        </w:tc>
        <w:tc>
          <w:tcPr>
            <w:tcW w:w="1701" w:type="dxa"/>
            <w:tcBorders>
              <w:top w:val="single" w:sz="4" w:space="0" w:color="auto"/>
              <w:left w:val="nil"/>
              <w:bottom w:val="single" w:sz="4" w:space="0" w:color="auto"/>
              <w:right w:val="single" w:sz="4" w:space="0" w:color="auto"/>
            </w:tcBorders>
            <w:vAlign w:val="center"/>
          </w:tcPr>
          <w:p w:rsidR="00D549A6" w:rsidRDefault="00D549A6" w:rsidP="00D07355">
            <w:pPr>
              <w:spacing w:line="300" w:lineRule="exact"/>
              <w:jc w:val="center"/>
              <w:rPr>
                <w:rFonts w:ascii="仿宋" w:eastAsia="仿宋" w:hAnsi="仿宋"/>
                <w:color w:val="000000"/>
                <w:kern w:val="0"/>
                <w:sz w:val="22"/>
                <w:szCs w:val="24"/>
              </w:rPr>
            </w:pPr>
            <w:r>
              <w:rPr>
                <w:rFonts w:ascii="仿宋" w:eastAsia="仿宋" w:hAnsi="仿宋" w:hint="eastAsia"/>
                <w:color w:val="000000"/>
                <w:kern w:val="0"/>
                <w:sz w:val="22"/>
                <w:szCs w:val="24"/>
              </w:rPr>
              <w:t>比重</w:t>
            </w:r>
          </w:p>
        </w:tc>
      </w:tr>
      <w:tr w:rsidR="00D549A6" w:rsidTr="00D07355">
        <w:trPr>
          <w:trHeight w:val="70"/>
        </w:trPr>
        <w:tc>
          <w:tcPr>
            <w:tcW w:w="1080" w:type="dxa"/>
            <w:tcBorders>
              <w:top w:val="nil"/>
              <w:left w:val="single" w:sz="4" w:space="0" w:color="auto"/>
              <w:bottom w:val="single" w:sz="4" w:space="0" w:color="auto"/>
              <w:right w:val="single" w:sz="4" w:space="0" w:color="auto"/>
            </w:tcBorders>
            <w:vAlign w:val="center"/>
          </w:tcPr>
          <w:p w:rsidR="00D549A6" w:rsidRDefault="00D549A6" w:rsidP="00D07355">
            <w:pPr>
              <w:spacing w:line="300" w:lineRule="exact"/>
              <w:jc w:val="center"/>
              <w:rPr>
                <w:rFonts w:ascii="仿宋" w:eastAsia="仿宋" w:hAnsi="仿宋"/>
                <w:color w:val="000000"/>
                <w:kern w:val="0"/>
                <w:sz w:val="22"/>
                <w:szCs w:val="24"/>
              </w:rPr>
            </w:pPr>
            <w:r>
              <w:rPr>
                <w:rFonts w:ascii="仿宋" w:eastAsia="仿宋" w:hAnsi="仿宋"/>
                <w:color w:val="000000"/>
                <w:kern w:val="0"/>
                <w:sz w:val="22"/>
                <w:szCs w:val="24"/>
              </w:rPr>
              <w:t>1</w:t>
            </w:r>
          </w:p>
        </w:tc>
        <w:tc>
          <w:tcPr>
            <w:tcW w:w="3188" w:type="dxa"/>
            <w:tcBorders>
              <w:top w:val="nil"/>
              <w:left w:val="nil"/>
              <w:bottom w:val="single" w:sz="4" w:space="0" w:color="auto"/>
              <w:right w:val="single" w:sz="4" w:space="0" w:color="auto"/>
            </w:tcBorders>
            <w:vAlign w:val="center"/>
          </w:tcPr>
          <w:p w:rsidR="00D549A6" w:rsidRDefault="00D549A6" w:rsidP="00D07355">
            <w:pPr>
              <w:spacing w:line="300" w:lineRule="exact"/>
              <w:jc w:val="left"/>
              <w:rPr>
                <w:rFonts w:ascii="仿宋" w:eastAsia="仿宋" w:hAnsi="仿宋"/>
                <w:color w:val="000000"/>
                <w:kern w:val="0"/>
                <w:sz w:val="22"/>
                <w:szCs w:val="24"/>
              </w:rPr>
            </w:pPr>
            <w:r>
              <w:rPr>
                <w:rFonts w:ascii="仿宋" w:eastAsia="仿宋" w:hAnsi="仿宋" w:hint="eastAsia"/>
                <w:color w:val="000000"/>
                <w:kern w:val="0"/>
                <w:sz w:val="22"/>
                <w:szCs w:val="24"/>
              </w:rPr>
              <w:t>住房保障支出</w:t>
            </w:r>
          </w:p>
        </w:tc>
        <w:tc>
          <w:tcPr>
            <w:tcW w:w="2268" w:type="dxa"/>
            <w:tcBorders>
              <w:top w:val="nil"/>
              <w:left w:val="nil"/>
              <w:bottom w:val="single" w:sz="4" w:space="0" w:color="auto"/>
              <w:right w:val="single" w:sz="4" w:space="0" w:color="auto"/>
            </w:tcBorders>
            <w:vAlign w:val="center"/>
          </w:tcPr>
          <w:p w:rsidR="00D549A6" w:rsidRDefault="00D549A6" w:rsidP="00D07355">
            <w:pPr>
              <w:spacing w:line="300" w:lineRule="exact"/>
              <w:jc w:val="right"/>
              <w:rPr>
                <w:rFonts w:ascii="仿宋" w:eastAsia="仿宋" w:hAnsi="仿宋"/>
                <w:color w:val="000000"/>
                <w:kern w:val="0"/>
                <w:sz w:val="22"/>
                <w:szCs w:val="24"/>
              </w:rPr>
            </w:pPr>
            <w:r>
              <w:rPr>
                <w:rFonts w:ascii="仿宋" w:eastAsia="仿宋" w:hAnsi="仿宋"/>
                <w:color w:val="000000"/>
                <w:kern w:val="0"/>
                <w:sz w:val="22"/>
                <w:szCs w:val="24"/>
              </w:rPr>
              <w:t>181440</w:t>
            </w:r>
          </w:p>
        </w:tc>
        <w:tc>
          <w:tcPr>
            <w:tcW w:w="1701" w:type="dxa"/>
            <w:tcBorders>
              <w:top w:val="nil"/>
              <w:left w:val="nil"/>
              <w:bottom w:val="single" w:sz="4" w:space="0" w:color="auto"/>
              <w:right w:val="single" w:sz="4" w:space="0" w:color="auto"/>
            </w:tcBorders>
            <w:vAlign w:val="center"/>
          </w:tcPr>
          <w:p w:rsidR="00D549A6" w:rsidRDefault="00D549A6" w:rsidP="00D07355">
            <w:pPr>
              <w:spacing w:line="300" w:lineRule="exact"/>
              <w:jc w:val="right"/>
              <w:rPr>
                <w:rFonts w:ascii="仿宋" w:eastAsia="仿宋" w:hAnsi="仿宋"/>
                <w:color w:val="000000"/>
                <w:kern w:val="0"/>
                <w:sz w:val="22"/>
                <w:szCs w:val="24"/>
              </w:rPr>
            </w:pPr>
            <w:r>
              <w:rPr>
                <w:rFonts w:ascii="仿宋" w:eastAsia="仿宋" w:hAnsi="仿宋"/>
                <w:color w:val="000000"/>
                <w:kern w:val="0"/>
                <w:sz w:val="22"/>
                <w:szCs w:val="24"/>
              </w:rPr>
              <w:t xml:space="preserve">0.0382 </w:t>
            </w:r>
          </w:p>
        </w:tc>
      </w:tr>
      <w:tr w:rsidR="00D549A6" w:rsidTr="00D07355">
        <w:trPr>
          <w:trHeight w:val="70"/>
        </w:trPr>
        <w:tc>
          <w:tcPr>
            <w:tcW w:w="1080" w:type="dxa"/>
            <w:tcBorders>
              <w:top w:val="nil"/>
              <w:left w:val="single" w:sz="4" w:space="0" w:color="auto"/>
              <w:bottom w:val="single" w:sz="4" w:space="0" w:color="auto"/>
              <w:right w:val="single" w:sz="4" w:space="0" w:color="auto"/>
            </w:tcBorders>
            <w:vAlign w:val="center"/>
          </w:tcPr>
          <w:p w:rsidR="00D549A6" w:rsidRDefault="00D549A6" w:rsidP="00D07355">
            <w:pPr>
              <w:spacing w:line="300" w:lineRule="exact"/>
              <w:jc w:val="center"/>
              <w:rPr>
                <w:rFonts w:ascii="仿宋" w:eastAsia="仿宋" w:hAnsi="仿宋"/>
                <w:color w:val="000000"/>
                <w:kern w:val="0"/>
                <w:sz w:val="22"/>
                <w:szCs w:val="24"/>
              </w:rPr>
            </w:pPr>
            <w:r>
              <w:rPr>
                <w:rFonts w:ascii="仿宋" w:eastAsia="仿宋" w:hAnsi="仿宋"/>
                <w:color w:val="000000"/>
                <w:kern w:val="0"/>
                <w:sz w:val="22"/>
                <w:szCs w:val="24"/>
              </w:rPr>
              <w:t>2</w:t>
            </w:r>
          </w:p>
        </w:tc>
        <w:tc>
          <w:tcPr>
            <w:tcW w:w="3188" w:type="dxa"/>
            <w:tcBorders>
              <w:top w:val="nil"/>
              <w:left w:val="nil"/>
              <w:bottom w:val="single" w:sz="4" w:space="0" w:color="auto"/>
              <w:right w:val="single" w:sz="4" w:space="0" w:color="auto"/>
            </w:tcBorders>
            <w:vAlign w:val="center"/>
          </w:tcPr>
          <w:p w:rsidR="00D549A6" w:rsidRDefault="00D549A6" w:rsidP="00D07355">
            <w:pPr>
              <w:spacing w:line="300" w:lineRule="exact"/>
              <w:jc w:val="left"/>
              <w:rPr>
                <w:rFonts w:ascii="仿宋" w:eastAsia="仿宋" w:hAnsi="仿宋"/>
                <w:color w:val="000000"/>
                <w:kern w:val="0"/>
                <w:sz w:val="22"/>
                <w:szCs w:val="24"/>
              </w:rPr>
            </w:pPr>
            <w:r>
              <w:rPr>
                <w:rFonts w:ascii="仿宋" w:eastAsia="仿宋" w:hAnsi="仿宋" w:hint="eastAsia"/>
                <w:color w:val="000000"/>
                <w:kern w:val="0"/>
                <w:sz w:val="22"/>
                <w:szCs w:val="24"/>
              </w:rPr>
              <w:t>灾害防治及应急管理支出</w:t>
            </w:r>
          </w:p>
        </w:tc>
        <w:tc>
          <w:tcPr>
            <w:tcW w:w="2268" w:type="dxa"/>
            <w:tcBorders>
              <w:top w:val="nil"/>
              <w:left w:val="nil"/>
              <w:bottom w:val="single" w:sz="4" w:space="0" w:color="auto"/>
              <w:right w:val="single" w:sz="4" w:space="0" w:color="auto"/>
            </w:tcBorders>
            <w:vAlign w:val="center"/>
          </w:tcPr>
          <w:p w:rsidR="00D549A6" w:rsidRDefault="00D549A6" w:rsidP="00D07355">
            <w:pPr>
              <w:spacing w:line="300" w:lineRule="exact"/>
              <w:jc w:val="right"/>
              <w:rPr>
                <w:rFonts w:ascii="仿宋" w:eastAsia="仿宋" w:hAnsi="仿宋"/>
                <w:color w:val="000000"/>
                <w:kern w:val="0"/>
                <w:sz w:val="22"/>
                <w:szCs w:val="24"/>
              </w:rPr>
            </w:pPr>
            <w:r>
              <w:rPr>
                <w:rFonts w:ascii="仿宋" w:eastAsia="仿宋" w:hAnsi="仿宋"/>
                <w:color w:val="000000"/>
                <w:kern w:val="0"/>
                <w:sz w:val="22"/>
                <w:szCs w:val="24"/>
              </w:rPr>
              <w:t>4,561,119.37</w:t>
            </w:r>
          </w:p>
        </w:tc>
        <w:tc>
          <w:tcPr>
            <w:tcW w:w="1701" w:type="dxa"/>
            <w:tcBorders>
              <w:top w:val="nil"/>
              <w:left w:val="nil"/>
              <w:bottom w:val="single" w:sz="4" w:space="0" w:color="auto"/>
              <w:right w:val="single" w:sz="4" w:space="0" w:color="auto"/>
            </w:tcBorders>
            <w:vAlign w:val="center"/>
          </w:tcPr>
          <w:p w:rsidR="00D549A6" w:rsidRDefault="00D549A6" w:rsidP="00D07355">
            <w:pPr>
              <w:spacing w:line="300" w:lineRule="exact"/>
              <w:jc w:val="right"/>
              <w:rPr>
                <w:rFonts w:ascii="仿宋" w:eastAsia="仿宋" w:hAnsi="仿宋"/>
                <w:color w:val="000000"/>
                <w:kern w:val="0"/>
                <w:sz w:val="22"/>
                <w:szCs w:val="24"/>
              </w:rPr>
            </w:pPr>
            <w:r>
              <w:rPr>
                <w:rFonts w:ascii="仿宋" w:eastAsia="仿宋" w:hAnsi="仿宋"/>
                <w:color w:val="000000"/>
                <w:kern w:val="0"/>
                <w:sz w:val="22"/>
                <w:szCs w:val="24"/>
              </w:rPr>
              <w:t xml:space="preserve">99.9618 </w:t>
            </w:r>
          </w:p>
        </w:tc>
      </w:tr>
      <w:tr w:rsidR="00D549A6" w:rsidTr="00D07355">
        <w:trPr>
          <w:trHeight w:val="70"/>
        </w:trPr>
        <w:tc>
          <w:tcPr>
            <w:tcW w:w="1080" w:type="dxa"/>
            <w:tcBorders>
              <w:top w:val="nil"/>
              <w:left w:val="single" w:sz="4" w:space="0" w:color="auto"/>
              <w:bottom w:val="single" w:sz="4" w:space="0" w:color="auto"/>
              <w:right w:val="single" w:sz="4" w:space="0" w:color="auto"/>
            </w:tcBorders>
            <w:vAlign w:val="center"/>
          </w:tcPr>
          <w:p w:rsidR="00D549A6" w:rsidRDefault="00D549A6" w:rsidP="00D07355">
            <w:pPr>
              <w:spacing w:line="300" w:lineRule="exact"/>
              <w:jc w:val="center"/>
              <w:rPr>
                <w:rFonts w:ascii="仿宋" w:eastAsia="仿宋" w:hAnsi="仿宋"/>
                <w:color w:val="000000"/>
                <w:kern w:val="0"/>
                <w:sz w:val="22"/>
                <w:szCs w:val="24"/>
              </w:rPr>
            </w:pPr>
          </w:p>
        </w:tc>
        <w:tc>
          <w:tcPr>
            <w:tcW w:w="3188" w:type="dxa"/>
            <w:tcBorders>
              <w:top w:val="nil"/>
              <w:left w:val="nil"/>
              <w:bottom w:val="single" w:sz="4" w:space="0" w:color="auto"/>
              <w:right w:val="single" w:sz="4" w:space="0" w:color="auto"/>
            </w:tcBorders>
            <w:vAlign w:val="center"/>
          </w:tcPr>
          <w:p w:rsidR="00D549A6" w:rsidRDefault="00D549A6" w:rsidP="00D07355">
            <w:pPr>
              <w:spacing w:line="300" w:lineRule="exact"/>
              <w:jc w:val="left"/>
              <w:rPr>
                <w:rFonts w:ascii="仿宋" w:eastAsia="仿宋" w:hAnsi="仿宋"/>
                <w:color w:val="000000"/>
                <w:kern w:val="0"/>
                <w:sz w:val="22"/>
                <w:szCs w:val="24"/>
              </w:rPr>
            </w:pPr>
            <w:r>
              <w:rPr>
                <w:rFonts w:ascii="仿宋" w:eastAsia="仿宋" w:hAnsi="仿宋" w:hint="eastAsia"/>
                <w:color w:val="000000"/>
                <w:kern w:val="0"/>
                <w:sz w:val="22"/>
                <w:szCs w:val="24"/>
              </w:rPr>
              <w:t>合计</w:t>
            </w:r>
          </w:p>
        </w:tc>
        <w:tc>
          <w:tcPr>
            <w:tcW w:w="2268" w:type="dxa"/>
            <w:tcBorders>
              <w:top w:val="nil"/>
              <w:left w:val="nil"/>
              <w:bottom w:val="single" w:sz="4" w:space="0" w:color="auto"/>
              <w:right w:val="single" w:sz="4" w:space="0" w:color="auto"/>
            </w:tcBorders>
            <w:vAlign w:val="center"/>
          </w:tcPr>
          <w:p w:rsidR="00D549A6" w:rsidRDefault="00D549A6" w:rsidP="00D07355">
            <w:pPr>
              <w:spacing w:line="300" w:lineRule="exact"/>
              <w:jc w:val="right"/>
              <w:rPr>
                <w:rFonts w:ascii="仿宋" w:eastAsia="仿宋" w:hAnsi="仿宋"/>
                <w:color w:val="000000"/>
                <w:kern w:val="0"/>
                <w:sz w:val="22"/>
                <w:szCs w:val="24"/>
              </w:rPr>
            </w:pPr>
            <w:r>
              <w:rPr>
                <w:rFonts w:ascii="仿宋" w:eastAsia="仿宋" w:hAnsi="仿宋"/>
                <w:color w:val="000000"/>
                <w:kern w:val="0"/>
                <w:sz w:val="22"/>
                <w:szCs w:val="24"/>
              </w:rPr>
              <w:t>4,742,559.37</w:t>
            </w:r>
          </w:p>
        </w:tc>
        <w:tc>
          <w:tcPr>
            <w:tcW w:w="1701" w:type="dxa"/>
            <w:tcBorders>
              <w:top w:val="nil"/>
              <w:left w:val="nil"/>
              <w:bottom w:val="single" w:sz="4" w:space="0" w:color="auto"/>
              <w:right w:val="single" w:sz="4" w:space="0" w:color="auto"/>
            </w:tcBorders>
            <w:vAlign w:val="center"/>
          </w:tcPr>
          <w:p w:rsidR="00D549A6" w:rsidRDefault="00D549A6" w:rsidP="00D07355">
            <w:pPr>
              <w:spacing w:line="300" w:lineRule="exact"/>
              <w:jc w:val="right"/>
              <w:rPr>
                <w:rFonts w:ascii="仿宋" w:eastAsia="仿宋" w:hAnsi="仿宋"/>
                <w:color w:val="000000"/>
                <w:kern w:val="0"/>
                <w:sz w:val="22"/>
                <w:szCs w:val="24"/>
              </w:rPr>
            </w:pPr>
            <w:r>
              <w:rPr>
                <w:rFonts w:ascii="仿宋" w:eastAsia="仿宋" w:hAnsi="仿宋"/>
                <w:color w:val="000000"/>
                <w:kern w:val="0"/>
                <w:sz w:val="22"/>
                <w:szCs w:val="24"/>
              </w:rPr>
              <w:t xml:space="preserve">100.00 </w:t>
            </w:r>
          </w:p>
        </w:tc>
      </w:tr>
    </w:tbl>
    <w:p w:rsidR="00082093" w:rsidRDefault="00082093">
      <w:pPr>
        <w:jc w:val="left"/>
        <w:rPr>
          <w:rFonts w:ascii="仿宋" w:eastAsia="仿宋" w:hAnsi="仿宋" w:cs="仿宋"/>
          <w:sz w:val="32"/>
        </w:rPr>
      </w:pPr>
    </w:p>
    <w:p w:rsidR="00082093" w:rsidRDefault="00297595">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082093" w:rsidRDefault="00297595">
      <w:pPr>
        <w:ind w:firstLine="640"/>
        <w:jc w:val="left"/>
        <w:rPr>
          <w:rFonts w:ascii="仿宋" w:eastAsia="仿宋" w:hAnsi="仿宋" w:cs="仿宋"/>
          <w:sz w:val="32"/>
        </w:rPr>
      </w:pPr>
      <w:r>
        <w:rPr>
          <w:rFonts w:ascii="仿宋" w:eastAsia="仿宋" w:hAnsi="仿宋" w:cs="仿宋"/>
          <w:sz w:val="32"/>
        </w:rPr>
        <w:lastRenderedPageBreak/>
        <w:t>1.</w:t>
      </w:r>
      <w:r w:rsidR="00C23B1B">
        <w:rPr>
          <w:rFonts w:ascii="仿宋" w:eastAsia="仿宋" w:hAnsi="仿宋" w:cs="仿宋"/>
          <w:sz w:val="32"/>
        </w:rPr>
        <w:t>住房保障支出（</w:t>
      </w:r>
      <w:r>
        <w:rPr>
          <w:rFonts w:ascii="仿宋" w:eastAsia="仿宋" w:hAnsi="仿宋" w:cs="仿宋"/>
          <w:sz w:val="32"/>
        </w:rPr>
        <w:t>类）</w:t>
      </w:r>
      <w:r w:rsidR="00C23B1B">
        <w:rPr>
          <w:rFonts w:ascii="仿宋" w:eastAsia="仿宋" w:hAnsi="仿宋" w:cs="仿宋"/>
          <w:sz w:val="32"/>
        </w:rPr>
        <w:t>住房改革支出</w:t>
      </w:r>
      <w:r>
        <w:rPr>
          <w:rFonts w:ascii="仿宋" w:eastAsia="仿宋" w:hAnsi="仿宋" w:cs="仿宋"/>
          <w:sz w:val="32"/>
        </w:rPr>
        <w:t>（款）</w:t>
      </w:r>
      <w:r w:rsidR="00C23B1B">
        <w:rPr>
          <w:rFonts w:ascii="仿宋" w:eastAsia="仿宋" w:hAnsi="仿宋" w:cs="仿宋"/>
          <w:sz w:val="32"/>
        </w:rPr>
        <w:t>住房公积金</w:t>
      </w:r>
      <w:r>
        <w:rPr>
          <w:rFonts w:ascii="仿宋" w:eastAsia="仿宋" w:hAnsi="仿宋" w:cs="仿宋"/>
          <w:sz w:val="32"/>
        </w:rPr>
        <w:t>（项）财政拨款支出</w:t>
      </w:r>
      <w:r w:rsidR="00C23B1B">
        <w:rPr>
          <w:rFonts w:ascii="仿宋" w:eastAsia="仿宋" w:hAnsi="仿宋" w:cs="仿宋" w:hint="eastAsia"/>
          <w:sz w:val="32"/>
        </w:rPr>
        <w:t>18.14</w:t>
      </w:r>
      <w:r>
        <w:rPr>
          <w:rFonts w:ascii="仿宋" w:eastAsia="仿宋" w:hAnsi="仿宋" w:cs="仿宋"/>
          <w:sz w:val="32"/>
        </w:rPr>
        <w:t>万元，主要用于</w:t>
      </w:r>
      <w:r w:rsidR="00C23B1B">
        <w:rPr>
          <w:rFonts w:ascii="仿宋" w:eastAsia="仿宋" w:hAnsi="仿宋" w:cs="仿宋"/>
          <w:sz w:val="32"/>
        </w:rPr>
        <w:t>职工公积金缴纳。</w:t>
      </w:r>
    </w:p>
    <w:p w:rsidR="00B40AB3" w:rsidRDefault="00297595" w:rsidP="00B40AB3">
      <w:pPr>
        <w:ind w:firstLine="640"/>
        <w:jc w:val="left"/>
        <w:rPr>
          <w:rFonts w:ascii="仿宋" w:eastAsia="仿宋" w:hAnsi="仿宋" w:cs="仿宋"/>
          <w:sz w:val="32"/>
        </w:rPr>
      </w:pPr>
      <w:r>
        <w:rPr>
          <w:rFonts w:ascii="仿宋" w:eastAsia="仿宋" w:hAnsi="仿宋" w:cs="仿宋"/>
          <w:sz w:val="32"/>
        </w:rPr>
        <w:t>2.</w:t>
      </w:r>
      <w:r w:rsidR="00C23B1B">
        <w:rPr>
          <w:rFonts w:ascii="仿宋" w:eastAsia="仿宋" w:hAnsi="仿宋" w:cs="仿宋"/>
          <w:sz w:val="32"/>
        </w:rPr>
        <w:t>灾害防治</w:t>
      </w:r>
      <w:r w:rsidR="00027A14">
        <w:rPr>
          <w:rFonts w:ascii="仿宋" w:eastAsia="仿宋" w:hAnsi="仿宋" w:cs="仿宋"/>
          <w:sz w:val="32"/>
        </w:rPr>
        <w:t>及应急</w:t>
      </w:r>
      <w:r w:rsidR="00EA504D">
        <w:rPr>
          <w:rFonts w:ascii="仿宋" w:eastAsia="仿宋" w:hAnsi="仿宋" w:cs="仿宋"/>
          <w:sz w:val="32"/>
        </w:rPr>
        <w:t>管理支出</w:t>
      </w:r>
      <w:r>
        <w:rPr>
          <w:rFonts w:ascii="仿宋" w:eastAsia="仿宋" w:hAnsi="仿宋" w:cs="仿宋"/>
          <w:sz w:val="32"/>
        </w:rPr>
        <w:t>（类）</w:t>
      </w:r>
      <w:r w:rsidR="00EA504D">
        <w:rPr>
          <w:rFonts w:ascii="仿宋" w:eastAsia="仿宋" w:hAnsi="仿宋" w:cs="仿宋"/>
          <w:sz w:val="32"/>
        </w:rPr>
        <w:t>应急管理事务</w:t>
      </w:r>
      <w:r>
        <w:rPr>
          <w:rFonts w:ascii="仿宋" w:eastAsia="仿宋" w:hAnsi="仿宋" w:cs="仿宋"/>
          <w:sz w:val="32"/>
        </w:rPr>
        <w:t>（款）</w:t>
      </w:r>
      <w:r w:rsidR="00EA504D">
        <w:rPr>
          <w:rFonts w:ascii="仿宋" w:eastAsia="仿宋" w:hAnsi="仿宋" w:cs="仿宋"/>
          <w:sz w:val="32"/>
        </w:rPr>
        <w:t>行政运行</w:t>
      </w:r>
      <w:r>
        <w:rPr>
          <w:rFonts w:ascii="仿宋" w:eastAsia="仿宋" w:hAnsi="仿宋" w:cs="仿宋"/>
          <w:sz w:val="32"/>
        </w:rPr>
        <w:t xml:space="preserve">（项）财政拨款支出 </w:t>
      </w:r>
      <w:r w:rsidR="00EA504D">
        <w:rPr>
          <w:rFonts w:ascii="仿宋" w:eastAsia="仿宋" w:hAnsi="仿宋" w:cs="仿宋" w:hint="eastAsia"/>
          <w:sz w:val="32"/>
        </w:rPr>
        <w:t>228.63</w:t>
      </w:r>
      <w:r>
        <w:rPr>
          <w:rFonts w:ascii="仿宋" w:eastAsia="仿宋" w:hAnsi="仿宋" w:cs="仿宋"/>
          <w:sz w:val="32"/>
        </w:rPr>
        <w:t>万元，主要用于</w:t>
      </w:r>
      <w:r w:rsidR="00B40AB3">
        <w:rPr>
          <w:rFonts w:ascii="仿宋" w:eastAsia="仿宋" w:hAnsi="仿宋" w:cs="仿宋"/>
          <w:sz w:val="32"/>
        </w:rPr>
        <w:t>人员的工资福利等。</w:t>
      </w:r>
    </w:p>
    <w:p w:rsidR="00082093" w:rsidRDefault="00297595">
      <w:pPr>
        <w:ind w:firstLine="640"/>
        <w:jc w:val="left"/>
        <w:rPr>
          <w:rFonts w:ascii="仿宋" w:eastAsia="仿宋" w:hAnsi="仿宋" w:cs="仿宋"/>
          <w:sz w:val="32"/>
        </w:rPr>
      </w:pPr>
      <w:r>
        <w:rPr>
          <w:rFonts w:ascii="仿宋" w:eastAsia="仿宋" w:hAnsi="仿宋" w:cs="仿宋"/>
          <w:sz w:val="32"/>
        </w:rPr>
        <w:t xml:space="preserve">3. </w:t>
      </w:r>
      <w:r w:rsidR="00F82109">
        <w:rPr>
          <w:rFonts w:ascii="仿宋" w:eastAsia="仿宋" w:hAnsi="仿宋" w:cs="仿宋"/>
          <w:sz w:val="32"/>
        </w:rPr>
        <w:t>灾害防治及应急管理支出（类）应急管理事务（款）一般行政管理事务（项）</w:t>
      </w:r>
      <w:r w:rsidR="00BB18E2">
        <w:rPr>
          <w:rFonts w:ascii="仿宋" w:eastAsia="仿宋" w:hAnsi="仿宋" w:cs="仿宋"/>
          <w:sz w:val="32"/>
        </w:rPr>
        <w:t>财政拨款支出</w:t>
      </w:r>
      <w:r w:rsidR="00BB18E2">
        <w:rPr>
          <w:rFonts w:ascii="仿宋" w:eastAsia="仿宋" w:hAnsi="仿宋" w:cs="仿宋" w:hint="eastAsia"/>
          <w:sz w:val="32"/>
        </w:rPr>
        <w:t>58.3</w:t>
      </w:r>
      <w:r w:rsidR="00BB18E2">
        <w:rPr>
          <w:rFonts w:ascii="仿宋" w:eastAsia="仿宋" w:hAnsi="仿宋" w:cs="仿宋"/>
          <w:sz w:val="32"/>
        </w:rPr>
        <w:t>万元</w:t>
      </w:r>
      <w:r w:rsidR="00810A3E">
        <w:rPr>
          <w:rFonts w:ascii="仿宋" w:eastAsia="仿宋" w:hAnsi="仿宋" w:cs="仿宋"/>
          <w:sz w:val="32"/>
        </w:rPr>
        <w:t>，主要用于日常办公费用等。</w:t>
      </w:r>
    </w:p>
    <w:p w:rsidR="00810A3E" w:rsidRDefault="00810A3E">
      <w:pPr>
        <w:ind w:firstLine="640"/>
        <w:jc w:val="left"/>
        <w:rPr>
          <w:rFonts w:ascii="仿宋" w:eastAsia="仿宋" w:hAnsi="仿宋" w:cs="仿宋"/>
          <w:sz w:val="32"/>
        </w:rPr>
      </w:pPr>
      <w:r>
        <w:rPr>
          <w:rFonts w:ascii="仿宋" w:eastAsia="仿宋" w:hAnsi="仿宋" w:cs="仿宋" w:hint="eastAsia"/>
          <w:sz w:val="32"/>
        </w:rPr>
        <w:t>4．</w:t>
      </w:r>
      <w:r>
        <w:rPr>
          <w:rFonts w:ascii="仿宋" w:eastAsia="仿宋" w:hAnsi="仿宋" w:cs="仿宋"/>
          <w:sz w:val="32"/>
        </w:rPr>
        <w:t>灾害防治及应急管理支出（类）应急管理事务（款）安全监管（项）财政拨款支出</w:t>
      </w:r>
      <w:r>
        <w:rPr>
          <w:rFonts w:ascii="仿宋" w:eastAsia="仿宋" w:hAnsi="仿宋" w:cs="仿宋" w:hint="eastAsia"/>
          <w:sz w:val="32"/>
        </w:rPr>
        <w:t>145.4</w:t>
      </w:r>
      <w:r>
        <w:rPr>
          <w:rFonts w:ascii="仿宋" w:eastAsia="仿宋" w:hAnsi="仿宋" w:cs="仿宋"/>
          <w:sz w:val="32"/>
        </w:rPr>
        <w:t>万元，主要用于安全生产检查、安全宣传等。</w:t>
      </w:r>
    </w:p>
    <w:p w:rsidR="00810A3E" w:rsidRDefault="00810A3E">
      <w:pPr>
        <w:ind w:firstLine="640"/>
        <w:jc w:val="left"/>
        <w:rPr>
          <w:rFonts w:ascii="仿宋" w:eastAsia="仿宋" w:hAnsi="仿宋" w:cs="仿宋"/>
          <w:sz w:val="32"/>
        </w:rPr>
      </w:pPr>
      <w:r>
        <w:rPr>
          <w:rFonts w:ascii="仿宋" w:eastAsia="仿宋" w:hAnsi="仿宋" w:cs="仿宋" w:hint="eastAsia"/>
          <w:sz w:val="32"/>
        </w:rPr>
        <w:t>5．</w:t>
      </w:r>
      <w:r w:rsidR="00D07355">
        <w:rPr>
          <w:rFonts w:ascii="仿宋" w:eastAsia="仿宋" w:hAnsi="仿宋" w:cs="仿宋"/>
          <w:sz w:val="32"/>
        </w:rPr>
        <w:t>灾害防治及应急管理支出（类）应急管理事务（款）其他应急管理支出（项）财政拨款支出</w:t>
      </w:r>
      <w:r w:rsidR="00D07355">
        <w:rPr>
          <w:rFonts w:ascii="仿宋" w:eastAsia="仿宋" w:hAnsi="仿宋" w:cs="仿宋" w:hint="eastAsia"/>
          <w:sz w:val="32"/>
        </w:rPr>
        <w:t>3.78</w:t>
      </w:r>
      <w:r w:rsidR="00D07355">
        <w:rPr>
          <w:rFonts w:ascii="仿宋" w:eastAsia="仿宋" w:hAnsi="仿宋" w:cs="仿宋"/>
          <w:sz w:val="32"/>
        </w:rPr>
        <w:t>万元，主要用于其他应急开支。</w:t>
      </w:r>
    </w:p>
    <w:p w:rsidR="00082093" w:rsidRPr="00E07243" w:rsidRDefault="00D07355" w:rsidP="00E07243">
      <w:pPr>
        <w:ind w:firstLine="640"/>
        <w:jc w:val="left"/>
        <w:rPr>
          <w:rFonts w:ascii="仿宋" w:eastAsia="仿宋" w:hAnsi="仿宋" w:cs="仿宋"/>
          <w:sz w:val="32"/>
        </w:rPr>
      </w:pPr>
      <w:r>
        <w:rPr>
          <w:rFonts w:ascii="仿宋" w:eastAsia="仿宋" w:hAnsi="仿宋" w:cs="仿宋" w:hint="eastAsia"/>
          <w:sz w:val="32"/>
        </w:rPr>
        <w:t>6.</w:t>
      </w:r>
      <w:r w:rsidR="00FB0B94" w:rsidRPr="00FB0B94">
        <w:rPr>
          <w:rFonts w:ascii="仿宋" w:eastAsia="仿宋" w:hAnsi="仿宋" w:cs="仿宋"/>
          <w:sz w:val="32"/>
        </w:rPr>
        <w:t xml:space="preserve"> </w:t>
      </w:r>
      <w:r w:rsidR="00FB0B94">
        <w:rPr>
          <w:rFonts w:ascii="仿宋" w:eastAsia="仿宋" w:hAnsi="仿宋" w:cs="仿宋"/>
          <w:sz w:val="32"/>
        </w:rPr>
        <w:t>灾害防治及应急管理支出</w:t>
      </w:r>
      <w:r>
        <w:rPr>
          <w:rFonts w:ascii="仿宋" w:eastAsia="仿宋" w:hAnsi="仿宋" w:cs="仿宋"/>
          <w:sz w:val="32"/>
        </w:rPr>
        <w:t>（类）</w:t>
      </w:r>
      <w:r w:rsidR="00FB0B94">
        <w:rPr>
          <w:rFonts w:ascii="仿宋" w:eastAsia="仿宋" w:hAnsi="仿宋" w:cs="仿宋"/>
          <w:sz w:val="32"/>
        </w:rPr>
        <w:t>消防事务</w:t>
      </w:r>
      <w:r>
        <w:rPr>
          <w:rFonts w:ascii="仿宋" w:eastAsia="仿宋" w:hAnsi="仿宋" w:cs="仿宋"/>
          <w:sz w:val="32"/>
        </w:rPr>
        <w:t>（款）</w:t>
      </w:r>
      <w:r w:rsidR="00FB0B94">
        <w:rPr>
          <w:rFonts w:ascii="仿宋" w:eastAsia="仿宋" w:hAnsi="仿宋" w:cs="仿宋"/>
          <w:sz w:val="32"/>
        </w:rPr>
        <w:t>一般行政管理事务</w:t>
      </w:r>
      <w:r>
        <w:rPr>
          <w:rFonts w:ascii="仿宋" w:eastAsia="仿宋" w:hAnsi="仿宋" w:cs="仿宋"/>
          <w:sz w:val="32"/>
        </w:rPr>
        <w:t>（项）财政拨款支出</w:t>
      </w:r>
      <w:r w:rsidR="00FB0B94">
        <w:rPr>
          <w:rFonts w:ascii="仿宋" w:eastAsia="仿宋" w:hAnsi="仿宋" w:cs="仿宋" w:hint="eastAsia"/>
          <w:sz w:val="32"/>
        </w:rPr>
        <w:t>20</w:t>
      </w:r>
      <w:r>
        <w:rPr>
          <w:rFonts w:ascii="仿宋" w:eastAsia="仿宋" w:hAnsi="仿宋" w:cs="仿宋"/>
          <w:sz w:val="32"/>
        </w:rPr>
        <w:t>万元，主要用于</w:t>
      </w:r>
      <w:r w:rsidR="00FB0B94">
        <w:rPr>
          <w:rFonts w:ascii="仿宋" w:eastAsia="仿宋" w:hAnsi="仿宋" w:cs="仿宋"/>
          <w:sz w:val="32"/>
        </w:rPr>
        <w:t>消防相关的工作运行。</w:t>
      </w:r>
    </w:p>
    <w:p w:rsidR="00082093" w:rsidRDefault="00297595">
      <w:pPr>
        <w:ind w:firstLine="640"/>
        <w:jc w:val="left"/>
        <w:rPr>
          <w:rFonts w:ascii="黑体" w:eastAsia="黑体" w:hAnsi="黑体" w:cs="黑体"/>
          <w:sz w:val="32"/>
        </w:rPr>
      </w:pPr>
      <w:r>
        <w:rPr>
          <w:rFonts w:ascii="黑体" w:eastAsia="黑体" w:hAnsi="黑体" w:cs="黑体"/>
          <w:sz w:val="32"/>
        </w:rPr>
        <w:t>六、关于</w:t>
      </w:r>
      <w:r w:rsidR="00BD4C81">
        <w:rPr>
          <w:rFonts w:ascii="黑体" w:eastAsia="黑体" w:hAnsi="黑体" w:cs="黑体" w:hint="eastAsia"/>
          <w:sz w:val="32"/>
        </w:rPr>
        <w:t>应急管理局</w:t>
      </w:r>
      <w:r>
        <w:rPr>
          <w:rFonts w:ascii="黑体" w:eastAsia="黑体" w:hAnsi="黑体" w:cs="黑体"/>
          <w:sz w:val="32"/>
        </w:rPr>
        <w:t>201</w:t>
      </w:r>
      <w:r w:rsidR="00BD4C81">
        <w:rPr>
          <w:rFonts w:ascii="黑体" w:eastAsia="黑体" w:hAnsi="黑体" w:cs="黑体" w:hint="eastAsia"/>
          <w:sz w:val="32"/>
        </w:rPr>
        <w:t>9</w:t>
      </w:r>
      <w:r>
        <w:rPr>
          <w:rFonts w:ascii="黑体" w:eastAsia="黑体" w:hAnsi="黑体" w:cs="黑体"/>
          <w:sz w:val="32"/>
        </w:rPr>
        <w:t>年度一般公共预算财政拨款基本支出决算情况说明</w:t>
      </w:r>
    </w:p>
    <w:p w:rsidR="00082093" w:rsidRDefault="00297595" w:rsidP="00786A36">
      <w:pPr>
        <w:ind w:firstLine="640"/>
        <w:jc w:val="left"/>
        <w:rPr>
          <w:rFonts w:ascii="仿宋" w:eastAsia="仿宋" w:hAnsi="仿宋" w:cs="仿宋"/>
          <w:sz w:val="32"/>
        </w:rPr>
      </w:pPr>
      <w:r>
        <w:rPr>
          <w:rFonts w:ascii="仿宋" w:eastAsia="仿宋" w:hAnsi="仿宋" w:cs="仿宋"/>
          <w:sz w:val="32"/>
        </w:rPr>
        <w:t>201</w:t>
      </w:r>
      <w:r w:rsidR="00E00483">
        <w:rPr>
          <w:rFonts w:ascii="仿宋" w:eastAsia="仿宋" w:hAnsi="仿宋" w:cs="仿宋" w:hint="eastAsia"/>
          <w:sz w:val="32"/>
        </w:rPr>
        <w:t>9</w:t>
      </w:r>
      <w:r>
        <w:rPr>
          <w:rFonts w:ascii="仿宋" w:eastAsia="仿宋" w:hAnsi="仿宋" w:cs="仿宋"/>
          <w:sz w:val="32"/>
        </w:rPr>
        <w:t xml:space="preserve"> 年度一般公共预算财政拨款基本支出</w:t>
      </w:r>
      <w:r w:rsidR="00BD4C81">
        <w:rPr>
          <w:rFonts w:ascii="仿宋" w:eastAsia="仿宋" w:hAnsi="仿宋" w:cs="仿宋" w:hint="eastAsia"/>
          <w:sz w:val="32"/>
        </w:rPr>
        <w:t>246.77</w:t>
      </w:r>
      <w:r>
        <w:rPr>
          <w:rFonts w:ascii="仿宋" w:eastAsia="仿宋" w:hAnsi="仿宋" w:cs="仿宋"/>
          <w:sz w:val="32"/>
        </w:rPr>
        <w:t>万元，其中人员经费支出</w:t>
      </w:r>
      <w:r w:rsidR="00BD4C81">
        <w:rPr>
          <w:rFonts w:ascii="仿宋" w:eastAsia="仿宋" w:hAnsi="仿宋" w:cs="仿宋" w:hint="eastAsia"/>
          <w:sz w:val="32"/>
        </w:rPr>
        <w:t>216.68</w:t>
      </w:r>
      <w:r>
        <w:rPr>
          <w:rFonts w:ascii="仿宋" w:eastAsia="仿宋" w:hAnsi="仿宋" w:cs="仿宋"/>
          <w:sz w:val="32"/>
        </w:rPr>
        <w:t>万元，主要包括：基本工</w:t>
      </w:r>
      <w:r>
        <w:rPr>
          <w:rFonts w:ascii="仿宋" w:eastAsia="仿宋" w:hAnsi="仿宋" w:cs="仿宋"/>
          <w:sz w:val="32"/>
        </w:rPr>
        <w:lastRenderedPageBreak/>
        <w:t>资、津贴补贴</w:t>
      </w:r>
      <w:r w:rsidR="00BD4C81">
        <w:rPr>
          <w:rFonts w:ascii="仿宋" w:eastAsia="仿宋" w:hAnsi="仿宋" w:cs="仿宋"/>
          <w:sz w:val="32"/>
        </w:rPr>
        <w:t>、</w:t>
      </w:r>
      <w:r w:rsidR="00BD4C81" w:rsidRPr="00BD4C81">
        <w:rPr>
          <w:rFonts w:ascii="仿宋" w:eastAsia="仿宋" w:hAnsi="仿宋" w:cs="仿宋" w:hint="eastAsia"/>
          <w:sz w:val="32"/>
        </w:rPr>
        <w:t>奖金、伙食补助费、机关事业单位基本养老保险缴费、职业年金缴费、职工基本医疗保险缴费、公务员医疗补助缴费、</w:t>
      </w:r>
      <w:r w:rsidR="00A94713">
        <w:rPr>
          <w:rFonts w:ascii="仿宋" w:eastAsia="仿宋" w:hAnsi="仿宋" w:cs="仿宋" w:hint="eastAsia"/>
          <w:sz w:val="32"/>
        </w:rPr>
        <w:t>其他社会保障缴费、</w:t>
      </w:r>
      <w:r w:rsidR="00BD4C81" w:rsidRPr="00BD4C81">
        <w:rPr>
          <w:rFonts w:ascii="仿宋" w:eastAsia="仿宋" w:hAnsi="仿宋" w:cs="仿宋" w:hint="eastAsia"/>
          <w:sz w:val="32"/>
        </w:rPr>
        <w:t>住房公积金、医疗费</w:t>
      </w:r>
      <w:r w:rsidR="00786A36">
        <w:rPr>
          <w:rFonts w:ascii="仿宋" w:eastAsia="仿宋" w:hAnsi="仿宋" w:cs="仿宋" w:hint="eastAsia"/>
          <w:sz w:val="32"/>
        </w:rPr>
        <w:t>、退休费</w:t>
      </w:r>
      <w:r>
        <w:rPr>
          <w:rFonts w:ascii="仿宋" w:eastAsia="仿宋" w:hAnsi="仿宋" w:cs="仿宋"/>
          <w:sz w:val="32"/>
        </w:rPr>
        <w:t>；公用经费支出</w:t>
      </w:r>
      <w:r w:rsidR="00A94713">
        <w:rPr>
          <w:rFonts w:ascii="仿宋" w:eastAsia="仿宋" w:hAnsi="仿宋" w:cs="仿宋" w:hint="eastAsia"/>
          <w:sz w:val="32"/>
        </w:rPr>
        <w:t>30.09</w:t>
      </w:r>
      <w:r>
        <w:rPr>
          <w:rFonts w:ascii="仿宋" w:eastAsia="仿宋" w:hAnsi="仿宋" w:cs="仿宋"/>
          <w:sz w:val="32"/>
        </w:rPr>
        <w:t>万元。主要包括：办公费、印刷费</w:t>
      </w:r>
      <w:r w:rsidR="00786A36">
        <w:rPr>
          <w:rFonts w:ascii="仿宋" w:eastAsia="仿宋" w:hAnsi="仿宋" w:cs="仿宋"/>
          <w:sz w:val="32"/>
        </w:rPr>
        <w:t>、</w:t>
      </w:r>
      <w:r w:rsidR="00786A36" w:rsidRPr="00786A36">
        <w:rPr>
          <w:rFonts w:ascii="仿宋" w:eastAsia="仿宋" w:hAnsi="仿宋" w:cs="仿宋" w:hint="eastAsia"/>
          <w:sz w:val="32"/>
        </w:rPr>
        <w:t>印刷费、咨询费、水费、电费、邮电</w:t>
      </w:r>
      <w:r w:rsidR="00786A36">
        <w:rPr>
          <w:rFonts w:ascii="仿宋" w:eastAsia="仿宋" w:hAnsi="仿宋" w:cs="仿宋" w:hint="eastAsia"/>
          <w:sz w:val="32"/>
        </w:rPr>
        <w:t>费、差旅费</w:t>
      </w:r>
      <w:r w:rsidR="00786A36" w:rsidRPr="00786A36">
        <w:rPr>
          <w:rFonts w:ascii="仿宋" w:eastAsia="仿宋" w:hAnsi="仿宋" w:cs="仿宋" w:hint="eastAsia"/>
          <w:sz w:val="32"/>
        </w:rPr>
        <w:t>、维</w:t>
      </w:r>
      <w:r w:rsidR="00786A36">
        <w:rPr>
          <w:rFonts w:ascii="仿宋" w:eastAsia="仿宋" w:hAnsi="仿宋" w:cs="仿宋" w:hint="eastAsia"/>
          <w:sz w:val="32"/>
        </w:rPr>
        <w:t>修（护）费</w:t>
      </w:r>
      <w:r w:rsidR="00786A36" w:rsidRPr="00786A36">
        <w:rPr>
          <w:rFonts w:ascii="仿宋" w:eastAsia="仿宋" w:hAnsi="仿宋" w:cs="仿宋" w:hint="eastAsia"/>
          <w:sz w:val="32"/>
        </w:rPr>
        <w:t>、公务接待费、工会经费</w:t>
      </w:r>
      <w:r>
        <w:rPr>
          <w:rFonts w:ascii="仿宋" w:eastAsia="仿宋" w:hAnsi="仿宋" w:cs="仿宋"/>
          <w:sz w:val="32"/>
        </w:rPr>
        <w:t>。</w:t>
      </w:r>
    </w:p>
    <w:p w:rsidR="00082093" w:rsidRDefault="00297595">
      <w:pPr>
        <w:ind w:firstLine="640"/>
        <w:jc w:val="left"/>
        <w:rPr>
          <w:rFonts w:ascii="黑体" w:eastAsia="黑体" w:hAnsi="黑体" w:cs="黑体"/>
          <w:sz w:val="32"/>
        </w:rPr>
      </w:pPr>
      <w:r>
        <w:rPr>
          <w:rFonts w:ascii="黑体" w:eastAsia="黑体" w:hAnsi="黑体" w:cs="黑体"/>
          <w:sz w:val="32"/>
        </w:rPr>
        <w:t>七、关于</w:t>
      </w:r>
      <w:r w:rsidR="00786A36">
        <w:rPr>
          <w:rFonts w:ascii="黑体" w:eastAsia="黑体" w:hAnsi="黑体" w:cs="黑体" w:hint="eastAsia"/>
          <w:sz w:val="32"/>
        </w:rPr>
        <w:t>应急管理局</w:t>
      </w:r>
      <w:r>
        <w:rPr>
          <w:rFonts w:ascii="黑体" w:eastAsia="黑体" w:hAnsi="黑体" w:cs="黑体"/>
          <w:sz w:val="32"/>
        </w:rPr>
        <w:t>201</w:t>
      </w:r>
      <w:r w:rsidR="00786A36">
        <w:rPr>
          <w:rFonts w:ascii="黑体" w:eastAsia="黑体" w:hAnsi="黑体" w:cs="黑体" w:hint="eastAsia"/>
          <w:sz w:val="32"/>
        </w:rPr>
        <w:t>9</w:t>
      </w:r>
      <w:r>
        <w:rPr>
          <w:rFonts w:ascii="黑体" w:eastAsia="黑体" w:hAnsi="黑体" w:cs="黑体"/>
          <w:sz w:val="32"/>
        </w:rPr>
        <w:t xml:space="preserve"> 年度政府性基金预算财政拨款支出决算情况说明</w:t>
      </w:r>
    </w:p>
    <w:p w:rsidR="00082093" w:rsidRDefault="00297595">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082093" w:rsidRDefault="00693862">
      <w:pPr>
        <w:ind w:firstLine="640"/>
        <w:jc w:val="left"/>
        <w:rPr>
          <w:rFonts w:ascii="仿宋" w:eastAsia="仿宋" w:hAnsi="仿宋" w:cs="仿宋"/>
          <w:sz w:val="32"/>
        </w:rPr>
      </w:pPr>
      <w:r>
        <w:rPr>
          <w:rFonts w:ascii="仿宋" w:eastAsia="仿宋" w:hAnsi="仿宋" w:cs="仿宋" w:hint="eastAsia"/>
          <w:sz w:val="32"/>
        </w:rPr>
        <w:t>无</w:t>
      </w:r>
    </w:p>
    <w:p w:rsidR="00082093" w:rsidRDefault="00297595">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082093" w:rsidRDefault="00693862">
      <w:pPr>
        <w:ind w:firstLine="640"/>
        <w:jc w:val="left"/>
        <w:rPr>
          <w:rFonts w:ascii="仿宋" w:eastAsia="仿宋" w:hAnsi="仿宋" w:cs="仿宋"/>
          <w:sz w:val="32"/>
        </w:rPr>
      </w:pPr>
      <w:r>
        <w:rPr>
          <w:rFonts w:ascii="仿宋" w:eastAsia="仿宋" w:hAnsi="仿宋" w:cs="仿宋" w:hint="eastAsia"/>
          <w:sz w:val="32"/>
        </w:rPr>
        <w:t>无</w:t>
      </w:r>
    </w:p>
    <w:p w:rsidR="00082093" w:rsidRDefault="00297595">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082093" w:rsidRDefault="00693862">
      <w:pPr>
        <w:ind w:firstLine="640"/>
        <w:jc w:val="left"/>
        <w:rPr>
          <w:rFonts w:ascii="仿宋" w:eastAsia="仿宋" w:hAnsi="仿宋" w:cs="仿宋"/>
          <w:sz w:val="32"/>
        </w:rPr>
      </w:pPr>
      <w:r>
        <w:rPr>
          <w:rFonts w:ascii="仿宋" w:eastAsia="仿宋" w:hAnsi="仿宋" w:cs="仿宋" w:hint="eastAsia"/>
          <w:sz w:val="32"/>
        </w:rPr>
        <w:t>无</w:t>
      </w:r>
    </w:p>
    <w:p w:rsidR="00082093" w:rsidRDefault="00297595">
      <w:pPr>
        <w:ind w:firstLine="640"/>
        <w:jc w:val="left"/>
        <w:rPr>
          <w:rFonts w:ascii="黑体" w:eastAsia="黑体" w:hAnsi="黑体" w:cs="黑体"/>
          <w:sz w:val="32"/>
        </w:rPr>
      </w:pPr>
      <w:r>
        <w:rPr>
          <w:rFonts w:ascii="黑体" w:eastAsia="黑体" w:hAnsi="黑体" w:cs="黑体"/>
          <w:sz w:val="32"/>
        </w:rPr>
        <w:t>八、关于</w:t>
      </w:r>
      <w:r w:rsidR="00547CE7">
        <w:rPr>
          <w:rFonts w:ascii="黑体" w:eastAsia="黑体" w:hAnsi="黑体" w:cs="黑体" w:hint="eastAsia"/>
          <w:sz w:val="32"/>
        </w:rPr>
        <w:t>应急管理局</w:t>
      </w:r>
      <w:r>
        <w:rPr>
          <w:rFonts w:ascii="黑体" w:eastAsia="黑体" w:hAnsi="黑体" w:cs="黑体"/>
          <w:sz w:val="32"/>
        </w:rPr>
        <w:t>201</w:t>
      </w:r>
      <w:r w:rsidR="00547CE7">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082093" w:rsidRDefault="00297595">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082093" w:rsidRDefault="00297595">
      <w:pPr>
        <w:ind w:firstLine="640"/>
        <w:jc w:val="left"/>
        <w:rPr>
          <w:rFonts w:ascii="仿宋" w:eastAsia="仿宋" w:hAnsi="仿宋" w:cs="仿宋"/>
          <w:sz w:val="32"/>
        </w:rPr>
      </w:pPr>
      <w:r>
        <w:rPr>
          <w:rFonts w:ascii="仿宋" w:eastAsia="仿宋" w:hAnsi="仿宋" w:cs="仿宋"/>
          <w:sz w:val="32"/>
        </w:rPr>
        <w:t>201</w:t>
      </w:r>
      <w:r w:rsidR="00E00483">
        <w:rPr>
          <w:rFonts w:ascii="仿宋" w:eastAsia="仿宋" w:hAnsi="仿宋" w:cs="仿宋" w:hint="eastAsia"/>
          <w:sz w:val="32"/>
        </w:rPr>
        <w:t>9</w:t>
      </w:r>
      <w:r>
        <w:rPr>
          <w:rFonts w:ascii="仿宋" w:eastAsia="仿宋" w:hAnsi="仿宋" w:cs="仿宋"/>
          <w:sz w:val="32"/>
        </w:rPr>
        <w:t xml:space="preserve"> 年度“三公”经费财政拨款支出预算为</w:t>
      </w:r>
      <w:r w:rsidR="00916142">
        <w:rPr>
          <w:rFonts w:ascii="仿宋" w:eastAsia="仿宋" w:hAnsi="仿宋" w:cs="仿宋" w:hint="eastAsia"/>
          <w:sz w:val="32"/>
        </w:rPr>
        <w:t>11</w:t>
      </w:r>
      <w:r>
        <w:rPr>
          <w:rFonts w:ascii="仿宋" w:eastAsia="仿宋" w:hAnsi="仿宋" w:cs="仿宋"/>
          <w:sz w:val="32"/>
        </w:rPr>
        <w:t>万元，支出决算为</w:t>
      </w:r>
      <w:r w:rsidR="00916142">
        <w:rPr>
          <w:rFonts w:ascii="仿宋" w:eastAsia="仿宋" w:hAnsi="仿宋" w:cs="仿宋" w:hint="eastAsia"/>
          <w:sz w:val="32"/>
        </w:rPr>
        <w:t>12.03</w:t>
      </w:r>
      <w:r>
        <w:rPr>
          <w:rFonts w:ascii="仿宋" w:eastAsia="仿宋" w:hAnsi="仿宋" w:cs="仿宋"/>
          <w:sz w:val="32"/>
        </w:rPr>
        <w:t>万元，完成预算的</w:t>
      </w:r>
      <w:r w:rsidR="00916142">
        <w:rPr>
          <w:rFonts w:ascii="仿宋" w:eastAsia="仿宋" w:hAnsi="仿宋" w:cs="仿宋" w:hint="eastAsia"/>
          <w:sz w:val="32"/>
        </w:rPr>
        <w:t>109.36</w:t>
      </w:r>
      <w:r>
        <w:rPr>
          <w:rFonts w:ascii="仿宋" w:eastAsia="仿宋" w:hAnsi="仿宋" w:cs="仿宋"/>
          <w:sz w:val="32"/>
        </w:rPr>
        <w:t>%，其中：公务用车购置及运行费支出决算为</w:t>
      </w:r>
      <w:r w:rsidR="004B2AF6">
        <w:rPr>
          <w:rFonts w:ascii="仿宋" w:eastAsia="仿宋" w:hAnsi="仿宋" w:cs="仿宋" w:hint="eastAsia"/>
          <w:sz w:val="32"/>
        </w:rPr>
        <w:t>5.7</w:t>
      </w:r>
      <w:r w:rsidR="00DB6598">
        <w:rPr>
          <w:rFonts w:ascii="仿宋" w:eastAsia="仿宋" w:hAnsi="仿宋" w:cs="仿宋" w:hint="eastAsia"/>
          <w:sz w:val="32"/>
        </w:rPr>
        <w:t>6</w:t>
      </w:r>
      <w:r w:rsidR="004B2AF6">
        <w:rPr>
          <w:rFonts w:ascii="仿宋" w:eastAsia="仿宋" w:hAnsi="仿宋" w:cs="仿宋"/>
          <w:sz w:val="32"/>
        </w:rPr>
        <w:t>万元</w:t>
      </w:r>
      <w:r>
        <w:rPr>
          <w:rFonts w:ascii="仿宋" w:eastAsia="仿宋" w:hAnsi="仿宋" w:cs="仿宋"/>
          <w:sz w:val="32"/>
        </w:rPr>
        <w:t>；公务接待费</w:t>
      </w:r>
      <w:r>
        <w:rPr>
          <w:rFonts w:ascii="仿宋" w:eastAsia="仿宋" w:hAnsi="仿宋" w:cs="仿宋"/>
          <w:sz w:val="32"/>
        </w:rPr>
        <w:lastRenderedPageBreak/>
        <w:t xml:space="preserve">支出决算为 </w:t>
      </w:r>
      <w:r w:rsidR="004B2AF6">
        <w:rPr>
          <w:rFonts w:ascii="仿宋" w:eastAsia="仿宋" w:hAnsi="仿宋" w:cs="仿宋" w:hint="eastAsia"/>
          <w:sz w:val="32"/>
        </w:rPr>
        <w:t>6.27</w:t>
      </w:r>
      <w:r>
        <w:rPr>
          <w:rFonts w:ascii="仿宋" w:eastAsia="仿宋" w:hAnsi="仿宋" w:cs="仿宋"/>
          <w:sz w:val="32"/>
        </w:rPr>
        <w:t>万元，完成预算的</w:t>
      </w:r>
      <w:r w:rsidR="004B2AF6">
        <w:rPr>
          <w:rFonts w:ascii="仿宋" w:eastAsia="仿宋" w:hAnsi="仿宋" w:cs="仿宋" w:hint="eastAsia"/>
          <w:sz w:val="32"/>
        </w:rPr>
        <w:t>57</w:t>
      </w:r>
      <w:r>
        <w:rPr>
          <w:rFonts w:ascii="仿宋" w:eastAsia="仿宋" w:hAnsi="仿宋" w:cs="仿宋"/>
          <w:sz w:val="32"/>
        </w:rPr>
        <w:t>%。201</w:t>
      </w:r>
      <w:r w:rsidR="004B2AF6">
        <w:rPr>
          <w:rFonts w:ascii="仿宋" w:eastAsia="仿宋" w:hAnsi="仿宋" w:cs="仿宋" w:hint="eastAsia"/>
          <w:sz w:val="32"/>
        </w:rPr>
        <w:t>9</w:t>
      </w:r>
      <w:r>
        <w:rPr>
          <w:rFonts w:ascii="仿宋" w:eastAsia="仿宋" w:hAnsi="仿宋" w:cs="仿宋"/>
          <w:sz w:val="32"/>
        </w:rPr>
        <w:t>年度“三公”经费支出决算数大于预算数的主要原因：</w:t>
      </w:r>
      <w:r w:rsidR="004B2AF6">
        <w:rPr>
          <w:rFonts w:ascii="仿宋" w:eastAsia="仿宋" w:hAnsi="仿宋" w:cs="仿宋"/>
          <w:sz w:val="32"/>
        </w:rPr>
        <w:t>公务用车运行维护费预算时未考虑。</w:t>
      </w:r>
    </w:p>
    <w:p w:rsidR="00082093" w:rsidRDefault="00297595">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082093" w:rsidRDefault="00297595">
      <w:pPr>
        <w:ind w:firstLine="640"/>
        <w:jc w:val="left"/>
        <w:rPr>
          <w:rFonts w:ascii="仿宋" w:eastAsia="仿宋" w:hAnsi="仿宋" w:cs="仿宋"/>
          <w:sz w:val="32"/>
        </w:rPr>
      </w:pPr>
      <w:r>
        <w:rPr>
          <w:rFonts w:ascii="仿宋" w:eastAsia="仿宋" w:hAnsi="仿宋" w:cs="仿宋"/>
          <w:sz w:val="32"/>
        </w:rPr>
        <w:t>201</w:t>
      </w:r>
      <w:r w:rsidR="00551EDF">
        <w:rPr>
          <w:rFonts w:ascii="仿宋" w:eastAsia="仿宋" w:hAnsi="仿宋" w:cs="仿宋" w:hint="eastAsia"/>
          <w:sz w:val="32"/>
        </w:rPr>
        <w:t>9</w:t>
      </w:r>
      <w:r>
        <w:rPr>
          <w:rFonts w:ascii="仿宋" w:eastAsia="仿宋" w:hAnsi="仿宋" w:cs="仿宋"/>
          <w:sz w:val="32"/>
        </w:rPr>
        <w:t>年度“三公”经费财政拨款支出决算为</w:t>
      </w:r>
      <w:r w:rsidR="00551EDF">
        <w:rPr>
          <w:rFonts w:ascii="仿宋" w:eastAsia="仿宋" w:hAnsi="仿宋" w:cs="仿宋" w:hint="eastAsia"/>
          <w:sz w:val="32"/>
        </w:rPr>
        <w:t>12.03</w:t>
      </w:r>
      <w:r>
        <w:rPr>
          <w:rFonts w:ascii="仿宋" w:eastAsia="仿宋" w:hAnsi="仿宋" w:cs="仿宋"/>
          <w:sz w:val="32"/>
        </w:rPr>
        <w:t>万元，其中：公务用车购置及运行费支出决算为</w:t>
      </w:r>
      <w:r w:rsidR="00355C3C">
        <w:rPr>
          <w:rFonts w:ascii="仿宋" w:eastAsia="仿宋" w:hAnsi="仿宋" w:cs="仿宋" w:hint="eastAsia"/>
          <w:sz w:val="32"/>
        </w:rPr>
        <w:t>5.7</w:t>
      </w:r>
      <w:r w:rsidR="00BA52AF">
        <w:rPr>
          <w:rFonts w:ascii="仿宋" w:eastAsia="仿宋" w:hAnsi="仿宋" w:cs="仿宋" w:hint="eastAsia"/>
          <w:sz w:val="32"/>
        </w:rPr>
        <w:t>6</w:t>
      </w:r>
      <w:r>
        <w:rPr>
          <w:rFonts w:ascii="仿宋" w:eastAsia="仿宋" w:hAnsi="仿宋" w:cs="仿宋"/>
          <w:sz w:val="32"/>
        </w:rPr>
        <w:t>万元，占</w:t>
      </w:r>
      <w:r w:rsidR="00355C3C">
        <w:rPr>
          <w:rFonts w:ascii="仿宋" w:eastAsia="仿宋" w:hAnsi="仿宋" w:cs="仿宋" w:hint="eastAsia"/>
          <w:sz w:val="32"/>
        </w:rPr>
        <w:t>47.79</w:t>
      </w:r>
      <w:r>
        <w:rPr>
          <w:rFonts w:ascii="仿宋" w:eastAsia="仿宋" w:hAnsi="仿宋" w:cs="仿宋"/>
          <w:sz w:val="32"/>
        </w:rPr>
        <w:t>%；公务接待费支出决算为</w:t>
      </w:r>
      <w:r w:rsidR="00355C3C">
        <w:rPr>
          <w:rFonts w:ascii="仿宋" w:eastAsia="仿宋" w:hAnsi="仿宋" w:cs="仿宋" w:hint="eastAsia"/>
          <w:sz w:val="32"/>
        </w:rPr>
        <w:t>6.27</w:t>
      </w:r>
      <w:r>
        <w:rPr>
          <w:rFonts w:ascii="仿宋" w:eastAsia="仿宋" w:hAnsi="仿宋" w:cs="仿宋"/>
          <w:sz w:val="32"/>
        </w:rPr>
        <w:t>万元，占</w:t>
      </w:r>
      <w:r w:rsidR="00355C3C">
        <w:rPr>
          <w:rFonts w:ascii="仿宋" w:eastAsia="仿宋" w:hAnsi="仿宋" w:cs="仿宋" w:hint="eastAsia"/>
          <w:sz w:val="32"/>
        </w:rPr>
        <w:t>52.21</w:t>
      </w:r>
      <w:r>
        <w:rPr>
          <w:rFonts w:ascii="仿宋" w:eastAsia="仿宋" w:hAnsi="仿宋" w:cs="仿宋"/>
          <w:sz w:val="32"/>
        </w:rPr>
        <w:t>%。201</w:t>
      </w:r>
      <w:r w:rsidR="00355C3C">
        <w:rPr>
          <w:rFonts w:ascii="仿宋" w:eastAsia="仿宋" w:hAnsi="仿宋" w:cs="仿宋" w:hint="eastAsia"/>
          <w:sz w:val="32"/>
        </w:rPr>
        <w:t>9</w:t>
      </w:r>
      <w:r>
        <w:rPr>
          <w:rFonts w:ascii="仿宋" w:eastAsia="仿宋" w:hAnsi="仿宋" w:cs="仿宋"/>
          <w:sz w:val="32"/>
        </w:rPr>
        <w:t>年度“三公”经费支出决算数</w:t>
      </w:r>
      <w:r w:rsidR="00693862">
        <w:rPr>
          <w:rFonts w:ascii="仿宋" w:eastAsia="仿宋" w:hAnsi="仿宋" w:cs="仿宋"/>
          <w:sz w:val="32"/>
        </w:rPr>
        <w:t>小于</w:t>
      </w:r>
      <w:r>
        <w:rPr>
          <w:rFonts w:ascii="仿宋" w:eastAsia="仿宋" w:hAnsi="仿宋" w:cs="仿宋"/>
          <w:sz w:val="32"/>
        </w:rPr>
        <w:t>上年决算数的主要原因：</w:t>
      </w:r>
    </w:p>
    <w:p w:rsidR="00082093" w:rsidRDefault="00297595">
      <w:pPr>
        <w:ind w:firstLine="640"/>
        <w:jc w:val="left"/>
        <w:rPr>
          <w:rFonts w:ascii="楷体" w:eastAsia="楷体" w:hAnsi="楷体" w:cs="楷体"/>
          <w:sz w:val="32"/>
        </w:rPr>
      </w:pPr>
      <w:r>
        <w:rPr>
          <w:rFonts w:ascii="楷体" w:eastAsia="楷体" w:hAnsi="楷体" w:cs="楷体"/>
          <w:sz w:val="32"/>
        </w:rPr>
        <w:t>1、因公出国（境）情况说明</w:t>
      </w:r>
    </w:p>
    <w:p w:rsidR="00082093" w:rsidRDefault="00693862">
      <w:pPr>
        <w:ind w:firstLine="640"/>
        <w:jc w:val="left"/>
        <w:rPr>
          <w:rFonts w:ascii="仿宋" w:eastAsia="仿宋" w:hAnsi="仿宋" w:cs="仿宋"/>
          <w:sz w:val="32"/>
        </w:rPr>
      </w:pPr>
      <w:r>
        <w:rPr>
          <w:rFonts w:ascii="仿宋" w:eastAsia="仿宋" w:hAnsi="仿宋" w:cs="仿宋" w:hint="eastAsia"/>
          <w:sz w:val="32"/>
        </w:rPr>
        <w:t>无</w:t>
      </w:r>
    </w:p>
    <w:p w:rsidR="00082093" w:rsidRDefault="00297595">
      <w:pPr>
        <w:ind w:firstLine="640"/>
        <w:jc w:val="left"/>
        <w:rPr>
          <w:rFonts w:ascii="楷体" w:eastAsia="楷体" w:hAnsi="楷体" w:cs="楷体"/>
          <w:sz w:val="32"/>
        </w:rPr>
      </w:pPr>
      <w:r>
        <w:rPr>
          <w:rFonts w:ascii="楷体" w:eastAsia="楷体" w:hAnsi="楷体" w:cs="楷体"/>
          <w:sz w:val="32"/>
        </w:rPr>
        <w:t>2、公务用车购置及运行经费情况说明</w:t>
      </w:r>
    </w:p>
    <w:p w:rsidR="00082093" w:rsidRDefault="00BA52AF">
      <w:pPr>
        <w:ind w:firstLine="640"/>
        <w:jc w:val="left"/>
        <w:rPr>
          <w:rFonts w:ascii="仿宋" w:eastAsia="仿宋" w:hAnsi="仿宋" w:cs="仿宋"/>
          <w:sz w:val="32"/>
        </w:rPr>
      </w:pPr>
      <w:r>
        <w:rPr>
          <w:rFonts w:ascii="仿宋" w:eastAsia="仿宋" w:hAnsi="仿宋" w:cs="仿宋" w:hint="eastAsia"/>
          <w:sz w:val="32"/>
        </w:rPr>
        <w:t>公务用车购置费及</w:t>
      </w:r>
      <w:r>
        <w:rPr>
          <w:rFonts w:ascii="仿宋" w:eastAsia="仿宋" w:hAnsi="仿宋" w:cs="仿宋"/>
          <w:sz w:val="32"/>
        </w:rPr>
        <w:t>运行</w:t>
      </w:r>
      <w:r>
        <w:rPr>
          <w:rFonts w:ascii="仿宋" w:eastAsia="仿宋" w:hAnsi="仿宋" w:cs="仿宋" w:hint="eastAsia"/>
          <w:sz w:val="32"/>
        </w:rPr>
        <w:t>维护</w:t>
      </w:r>
      <w:r w:rsidR="00297595">
        <w:rPr>
          <w:rFonts w:ascii="仿宋" w:eastAsia="仿宋" w:hAnsi="仿宋" w:cs="仿宋"/>
          <w:sz w:val="32"/>
        </w:rPr>
        <w:t>费支出</w:t>
      </w:r>
      <w:r>
        <w:rPr>
          <w:rFonts w:ascii="仿宋" w:eastAsia="仿宋" w:hAnsi="仿宋" w:cs="仿宋" w:hint="eastAsia"/>
          <w:sz w:val="32"/>
        </w:rPr>
        <w:t>决算为</w:t>
      </w:r>
      <w:r w:rsidR="00976BF7">
        <w:rPr>
          <w:rFonts w:ascii="仿宋" w:eastAsia="仿宋" w:hAnsi="仿宋" w:cs="仿宋" w:hint="eastAsia"/>
          <w:sz w:val="32"/>
        </w:rPr>
        <w:t>5.76</w:t>
      </w:r>
      <w:r w:rsidR="00297595">
        <w:rPr>
          <w:rFonts w:ascii="仿宋" w:eastAsia="仿宋" w:hAnsi="仿宋" w:cs="仿宋"/>
          <w:sz w:val="32"/>
        </w:rPr>
        <w:t>万元，</w:t>
      </w:r>
      <w:r>
        <w:rPr>
          <w:rFonts w:ascii="仿宋" w:eastAsia="仿宋" w:hAnsi="仿宋" w:cs="仿宋" w:hint="eastAsia"/>
          <w:sz w:val="32"/>
        </w:rPr>
        <w:t>其中公务用车购置费0万元，公务用车运行维护费5.76万元，</w:t>
      </w:r>
      <w:r w:rsidR="00297595">
        <w:rPr>
          <w:rFonts w:ascii="仿宋" w:eastAsia="仿宋" w:hAnsi="仿宋" w:cs="仿宋"/>
          <w:sz w:val="32"/>
        </w:rPr>
        <w:t>主要用于</w:t>
      </w:r>
      <w:r w:rsidR="003C6E80">
        <w:rPr>
          <w:rFonts w:ascii="仿宋" w:eastAsia="仿宋" w:hAnsi="仿宋" w:cs="仿宋" w:hint="eastAsia"/>
          <w:sz w:val="32"/>
        </w:rPr>
        <w:t>应急专用公务车辆的维护和修理支出，截止2019年12月31日，我单位公务用车保有量为1辆。</w:t>
      </w:r>
    </w:p>
    <w:p w:rsidR="00082093" w:rsidRDefault="00297595">
      <w:pPr>
        <w:ind w:firstLine="640"/>
        <w:jc w:val="left"/>
        <w:rPr>
          <w:rFonts w:ascii="楷体" w:eastAsia="楷体" w:hAnsi="楷体" w:cs="楷体"/>
          <w:sz w:val="32"/>
        </w:rPr>
      </w:pPr>
      <w:r>
        <w:rPr>
          <w:rFonts w:ascii="楷体" w:eastAsia="楷体" w:hAnsi="楷体" w:cs="楷体"/>
          <w:sz w:val="32"/>
        </w:rPr>
        <w:t>3、公务接待情况说明</w:t>
      </w:r>
    </w:p>
    <w:p w:rsidR="00082093" w:rsidRDefault="00297595" w:rsidP="007221B1">
      <w:pPr>
        <w:ind w:firstLine="640"/>
        <w:jc w:val="left"/>
        <w:rPr>
          <w:rFonts w:ascii="仿宋" w:eastAsia="仿宋" w:hAnsi="仿宋" w:cs="仿宋"/>
          <w:sz w:val="32"/>
        </w:rPr>
      </w:pPr>
      <w:r>
        <w:rPr>
          <w:rFonts w:ascii="仿宋" w:eastAsia="仿宋" w:hAnsi="仿宋" w:cs="仿宋"/>
          <w:sz w:val="32"/>
        </w:rPr>
        <w:t>公务接待支出</w:t>
      </w:r>
      <w:r w:rsidR="007221B1">
        <w:rPr>
          <w:rFonts w:ascii="仿宋" w:eastAsia="仿宋" w:hAnsi="仿宋" w:cs="仿宋" w:hint="eastAsia"/>
          <w:sz w:val="32"/>
        </w:rPr>
        <w:t>6.27</w:t>
      </w:r>
      <w:r>
        <w:rPr>
          <w:rFonts w:ascii="仿宋" w:eastAsia="仿宋" w:hAnsi="仿宋" w:cs="仿宋"/>
          <w:sz w:val="32"/>
        </w:rPr>
        <w:t>万元，国内公务接待</w:t>
      </w:r>
      <w:r w:rsidR="007221B1">
        <w:rPr>
          <w:rFonts w:ascii="仿宋" w:eastAsia="仿宋" w:hAnsi="仿宋" w:cs="仿宋" w:hint="eastAsia"/>
          <w:sz w:val="32"/>
        </w:rPr>
        <w:t>800</w:t>
      </w:r>
      <w:r>
        <w:rPr>
          <w:rFonts w:ascii="仿宋" w:eastAsia="仿宋" w:hAnsi="仿宋" w:cs="仿宋"/>
          <w:sz w:val="32"/>
        </w:rPr>
        <w:t>批次，接待</w:t>
      </w:r>
      <w:r w:rsidR="007221B1">
        <w:rPr>
          <w:rFonts w:ascii="仿宋" w:eastAsia="仿宋" w:hAnsi="仿宋" w:cs="仿宋" w:hint="eastAsia"/>
          <w:sz w:val="32"/>
        </w:rPr>
        <w:t>4000</w:t>
      </w:r>
      <w:r>
        <w:rPr>
          <w:rFonts w:ascii="仿宋" w:eastAsia="仿宋" w:hAnsi="仿宋" w:cs="仿宋"/>
          <w:sz w:val="32"/>
        </w:rPr>
        <w:t>人。接待支出主要用于</w:t>
      </w:r>
      <w:r w:rsidR="007221B1" w:rsidRPr="007221B1">
        <w:rPr>
          <w:rFonts w:ascii="仿宋" w:eastAsia="仿宋" w:hAnsi="仿宋" w:cs="仿宋" w:hint="eastAsia"/>
          <w:sz w:val="32"/>
        </w:rPr>
        <w:t>国内相关单位交流工作情况及接受相关部门检查指导工作发生的接待支出</w:t>
      </w:r>
      <w:r w:rsidR="007221B1">
        <w:rPr>
          <w:rFonts w:ascii="仿宋" w:eastAsia="仿宋" w:hAnsi="仿宋" w:cs="仿宋" w:hint="eastAsia"/>
          <w:sz w:val="32"/>
        </w:rPr>
        <w:t>。</w:t>
      </w:r>
    </w:p>
    <w:p w:rsidR="00082093" w:rsidRDefault="00082093">
      <w:pPr>
        <w:ind w:firstLine="640"/>
        <w:jc w:val="left"/>
        <w:rPr>
          <w:rFonts w:ascii="仿宋" w:eastAsia="仿宋" w:hAnsi="仿宋" w:cs="仿宋"/>
          <w:sz w:val="32"/>
        </w:rPr>
      </w:pPr>
    </w:p>
    <w:p w:rsidR="00082093" w:rsidRDefault="00297595">
      <w:pPr>
        <w:ind w:firstLine="640"/>
        <w:jc w:val="left"/>
        <w:rPr>
          <w:rFonts w:ascii="黑体" w:eastAsia="黑体" w:hAnsi="黑体" w:cs="黑体"/>
          <w:sz w:val="32"/>
        </w:rPr>
      </w:pPr>
      <w:r>
        <w:rPr>
          <w:rFonts w:ascii="黑体" w:eastAsia="黑体" w:hAnsi="黑体" w:cs="黑体"/>
          <w:sz w:val="32"/>
        </w:rPr>
        <w:lastRenderedPageBreak/>
        <w:t>九、</w:t>
      </w:r>
      <w:r>
        <w:rPr>
          <w:rFonts w:ascii="黑体" w:eastAsia="黑体" w:hAnsi="黑体" w:cs="黑体" w:hint="eastAsia"/>
          <w:sz w:val="32"/>
        </w:rPr>
        <w:t>关于 201</w:t>
      </w:r>
      <w:r w:rsidR="00606623">
        <w:rPr>
          <w:rFonts w:ascii="黑体" w:eastAsia="黑体" w:hAnsi="黑体" w:cs="黑体" w:hint="eastAsia"/>
          <w:sz w:val="32"/>
        </w:rPr>
        <w:t>9</w:t>
      </w:r>
      <w:r>
        <w:rPr>
          <w:rFonts w:ascii="黑体" w:eastAsia="黑体" w:hAnsi="黑体" w:cs="黑体" w:hint="eastAsia"/>
          <w:sz w:val="32"/>
        </w:rPr>
        <w:t xml:space="preserve"> 年度</w:t>
      </w:r>
      <w:r w:rsidR="00DB6598">
        <w:rPr>
          <w:rFonts w:ascii="黑体" w:eastAsia="黑体" w:hAnsi="黑体" w:cs="黑体" w:hint="eastAsia"/>
          <w:sz w:val="32"/>
        </w:rPr>
        <w:t>预</w:t>
      </w:r>
      <w:r>
        <w:rPr>
          <w:rFonts w:ascii="黑体" w:eastAsia="黑体" w:hAnsi="黑体" w:cs="黑体" w:hint="eastAsia"/>
          <w:sz w:val="32"/>
        </w:rPr>
        <w:t>算绩效情况说明</w:t>
      </w:r>
    </w:p>
    <w:p w:rsidR="00082093" w:rsidRDefault="00297595">
      <w:pPr>
        <w:ind w:firstLine="640"/>
        <w:jc w:val="left"/>
        <w:rPr>
          <w:rFonts w:ascii="楷体" w:eastAsia="楷体" w:hAnsi="楷体" w:cs="楷体"/>
          <w:sz w:val="32"/>
        </w:rPr>
      </w:pPr>
      <w:r>
        <w:rPr>
          <w:rFonts w:ascii="楷体" w:eastAsia="楷体" w:hAnsi="楷体" w:cs="楷体" w:hint="eastAsia"/>
          <w:sz w:val="32"/>
        </w:rPr>
        <w:t>（一）绩效管理工作开展情况 。</w:t>
      </w:r>
    </w:p>
    <w:p w:rsidR="00CA65FA" w:rsidRPr="00CA65FA" w:rsidRDefault="00CA65FA" w:rsidP="00CA65FA">
      <w:pPr>
        <w:spacing w:line="600" w:lineRule="exact"/>
        <w:ind w:firstLine="560"/>
        <w:rPr>
          <w:rFonts w:ascii="仿宋" w:eastAsia="仿宋" w:hAnsi="仿宋" w:cs="仿宋"/>
          <w:sz w:val="32"/>
        </w:rPr>
      </w:pPr>
      <w:r w:rsidRPr="00CA65FA">
        <w:rPr>
          <w:rFonts w:ascii="仿宋" w:eastAsia="仿宋" w:hAnsi="仿宋" w:cs="仿宋" w:hint="eastAsia"/>
          <w:sz w:val="32"/>
        </w:rPr>
        <w:t>2019年基本支出预算253.15万元。其中工资福利支出226.15万元，对个人和家庭的补助0万元，一般商品和服务支出27万元。；2019年预算总收入355.94万元。其中：经费拨款353.14万元，纳入公共预算管理的非税拨款2.8万元。；2019年度预算收入决算合计492.47万元，其中：财政拨款收入484.47万元，其他收入8万元。；2019年度预算支出决算合计474.26万元，其中：基本支出246.77万元，项目支出227.48万元；2019年，我局 “三公”经费财政拨款预算数19万元，其中：公务接待费11万元，公务用车购置及运行维护费8万元；2019年“三公”经费决算为16.02万元，其中：公务接待费6.26万元，公务用车购置及运行维护费9.76万元；2019年三公经费总支出16.03万元，占年初预算19.00万元的84.36%，与上年度18.47万元相比，减少13.21%</w:t>
      </w:r>
    </w:p>
    <w:p w:rsidR="00CA65FA" w:rsidRDefault="00297595">
      <w:pPr>
        <w:ind w:firstLine="640"/>
        <w:jc w:val="left"/>
        <w:rPr>
          <w:rFonts w:ascii="楷体" w:eastAsia="楷体" w:hAnsi="楷体" w:cs="楷体"/>
          <w:sz w:val="32"/>
        </w:rPr>
      </w:pPr>
      <w:r>
        <w:rPr>
          <w:rFonts w:ascii="楷体" w:eastAsia="楷体" w:hAnsi="楷体" w:cs="楷体" w:hint="eastAsia"/>
          <w:sz w:val="32"/>
        </w:rPr>
        <w:t xml:space="preserve">（二）部门决算中项目绩效自评结果 </w:t>
      </w:r>
    </w:p>
    <w:p w:rsidR="0070699D" w:rsidRPr="0070699D" w:rsidRDefault="0070699D" w:rsidP="0070699D">
      <w:pPr>
        <w:ind w:firstLineChars="200" w:firstLine="640"/>
        <w:rPr>
          <w:rFonts w:ascii="仿宋" w:eastAsia="仿宋" w:hAnsi="仿宋" w:cs="仿宋"/>
          <w:sz w:val="32"/>
        </w:rPr>
      </w:pPr>
      <w:r w:rsidRPr="0070699D">
        <w:rPr>
          <w:rFonts w:ascii="仿宋" w:eastAsia="仿宋" w:hAnsi="仿宋" w:cs="仿宋" w:hint="eastAsia"/>
          <w:sz w:val="32"/>
        </w:rPr>
        <w:t>1、项目经济性分析</w:t>
      </w:r>
    </w:p>
    <w:p w:rsidR="0070699D" w:rsidRPr="0070699D" w:rsidRDefault="0070699D" w:rsidP="0070699D">
      <w:pPr>
        <w:ind w:firstLineChars="200" w:firstLine="640"/>
        <w:rPr>
          <w:rFonts w:ascii="仿宋" w:eastAsia="仿宋" w:hAnsi="仿宋" w:cs="仿宋"/>
          <w:sz w:val="32"/>
        </w:rPr>
      </w:pPr>
      <w:r w:rsidRPr="0070699D">
        <w:rPr>
          <w:rFonts w:ascii="仿宋" w:eastAsia="仿宋" w:hAnsi="仿宋" w:cs="仿宋" w:hint="eastAsia"/>
          <w:sz w:val="32"/>
        </w:rPr>
        <w:t>2019年我局的所有专项资金按照相关规定专款专用，项目资金基本实现收支平衡。</w:t>
      </w:r>
    </w:p>
    <w:p w:rsidR="0070699D" w:rsidRPr="0070699D" w:rsidRDefault="0070699D" w:rsidP="0070699D">
      <w:pPr>
        <w:ind w:firstLineChars="200" w:firstLine="640"/>
        <w:rPr>
          <w:rFonts w:ascii="仿宋" w:eastAsia="仿宋" w:hAnsi="仿宋" w:cs="仿宋"/>
          <w:sz w:val="32"/>
        </w:rPr>
      </w:pPr>
      <w:r w:rsidRPr="0070699D">
        <w:rPr>
          <w:rFonts w:ascii="仿宋" w:eastAsia="仿宋" w:hAnsi="仿宋" w:cs="仿宋" w:hint="eastAsia"/>
          <w:sz w:val="32"/>
        </w:rPr>
        <w:t>2、项目的效率性分析</w:t>
      </w:r>
    </w:p>
    <w:p w:rsidR="0070699D" w:rsidRPr="0070699D" w:rsidRDefault="0070699D" w:rsidP="0070699D">
      <w:pPr>
        <w:ind w:firstLineChars="200" w:firstLine="640"/>
        <w:rPr>
          <w:rFonts w:ascii="仿宋" w:eastAsia="仿宋" w:hAnsi="仿宋" w:cs="仿宋"/>
          <w:sz w:val="32"/>
        </w:rPr>
      </w:pPr>
      <w:r w:rsidRPr="0070699D">
        <w:rPr>
          <w:rFonts w:ascii="仿宋" w:eastAsia="仿宋" w:hAnsi="仿宋" w:cs="仿宋" w:hint="eastAsia"/>
          <w:sz w:val="32"/>
        </w:rPr>
        <w:t>2019年我局的所有专项资金项目都严格按照有关规定执行，都是按照法定程序要求通过政府公开招标采购，验</w:t>
      </w:r>
      <w:r w:rsidRPr="0070699D">
        <w:rPr>
          <w:rFonts w:ascii="仿宋" w:eastAsia="仿宋" w:hAnsi="仿宋" w:cs="仿宋" w:hint="eastAsia"/>
          <w:sz w:val="32"/>
        </w:rPr>
        <w:lastRenderedPageBreak/>
        <w:t>收后使用；其余专项则依据相应工作要求保质保量地完成各项工作任务。</w:t>
      </w:r>
    </w:p>
    <w:p w:rsidR="0070699D" w:rsidRPr="0070699D" w:rsidRDefault="0070699D" w:rsidP="0070699D">
      <w:pPr>
        <w:numPr>
          <w:ilvl w:val="0"/>
          <w:numId w:val="4"/>
        </w:numPr>
        <w:ind w:firstLine="560"/>
        <w:rPr>
          <w:rFonts w:ascii="仿宋" w:eastAsia="仿宋" w:hAnsi="仿宋" w:cs="仿宋"/>
          <w:sz w:val="32"/>
        </w:rPr>
      </w:pPr>
      <w:r w:rsidRPr="0070699D">
        <w:rPr>
          <w:rFonts w:ascii="仿宋" w:eastAsia="仿宋" w:hAnsi="仿宋" w:cs="仿宋" w:hint="eastAsia"/>
          <w:sz w:val="32"/>
        </w:rPr>
        <w:t>项目的效益性分析</w:t>
      </w:r>
    </w:p>
    <w:p w:rsidR="0070699D" w:rsidRPr="00AF647D" w:rsidRDefault="0070699D" w:rsidP="0070699D">
      <w:pPr>
        <w:ind w:firstLineChars="200" w:firstLine="640"/>
        <w:rPr>
          <w:rFonts w:ascii="仿宋" w:eastAsia="仿宋" w:hAnsi="仿宋" w:cs="仿宋"/>
          <w:sz w:val="32"/>
        </w:rPr>
      </w:pPr>
      <w:r w:rsidRPr="0070699D">
        <w:rPr>
          <w:rFonts w:ascii="仿宋" w:eastAsia="仿宋" w:hAnsi="仿宋" w:cs="仿宋" w:hint="eastAsia"/>
          <w:sz w:val="32"/>
        </w:rPr>
        <w:t>通过安全生产培训宣传的投入，提高了工人的技术知识水平</w:t>
      </w:r>
      <w:r w:rsidRPr="00AF647D">
        <w:rPr>
          <w:rFonts w:ascii="仿宋" w:eastAsia="仿宋" w:hAnsi="仿宋" w:cs="仿宋" w:hint="eastAsia"/>
          <w:sz w:val="32"/>
        </w:rPr>
        <w:t>，提高了民众的安全意识，更好的实现了我局监管、宣传的职能。</w:t>
      </w:r>
    </w:p>
    <w:p w:rsidR="0070699D" w:rsidRPr="00AF647D" w:rsidRDefault="0070699D" w:rsidP="0070699D">
      <w:pPr>
        <w:numPr>
          <w:ilvl w:val="0"/>
          <w:numId w:val="4"/>
        </w:numPr>
        <w:ind w:firstLine="560"/>
        <w:rPr>
          <w:rFonts w:ascii="仿宋" w:eastAsia="仿宋" w:hAnsi="仿宋" w:cs="仿宋"/>
          <w:sz w:val="32"/>
        </w:rPr>
      </w:pPr>
      <w:r w:rsidRPr="00AF647D">
        <w:rPr>
          <w:rFonts w:ascii="仿宋" w:eastAsia="仿宋" w:hAnsi="仿宋" w:cs="仿宋" w:hint="eastAsia"/>
          <w:sz w:val="32"/>
        </w:rPr>
        <w:t>项目的可持续性分析</w:t>
      </w:r>
    </w:p>
    <w:p w:rsidR="00082093" w:rsidRPr="00AF647D" w:rsidRDefault="0070699D" w:rsidP="0070699D">
      <w:pPr>
        <w:ind w:firstLineChars="200" w:firstLine="640"/>
        <w:rPr>
          <w:rFonts w:ascii="仿宋" w:eastAsia="仿宋" w:hAnsi="仿宋" w:cs="仿宋"/>
          <w:sz w:val="32"/>
        </w:rPr>
      </w:pPr>
      <w:r w:rsidRPr="00AF647D">
        <w:rPr>
          <w:rFonts w:ascii="仿宋" w:eastAsia="仿宋" w:hAnsi="仿宋" w:cs="仿宋" w:hint="eastAsia"/>
          <w:sz w:val="32"/>
        </w:rPr>
        <w:t>加强宣传、教育、培训工作的力度可以提升全社会的安全意识，强化全社会安全氛围的营造。</w:t>
      </w:r>
    </w:p>
    <w:p w:rsidR="00082093" w:rsidRPr="00AF647D" w:rsidRDefault="00297595">
      <w:pPr>
        <w:ind w:firstLine="640"/>
        <w:jc w:val="left"/>
        <w:rPr>
          <w:rFonts w:ascii="仿宋" w:eastAsia="仿宋" w:hAnsi="仿宋" w:cs="仿宋"/>
          <w:sz w:val="32"/>
        </w:rPr>
      </w:pPr>
      <w:r w:rsidRPr="00AF647D">
        <w:rPr>
          <w:rFonts w:ascii="仿宋" w:eastAsia="仿宋" w:hAnsi="仿宋" w:cs="仿宋" w:hint="eastAsia"/>
          <w:sz w:val="32"/>
        </w:rPr>
        <w:t>（三）以部门为主体开展的重点绩效评价结果</w:t>
      </w:r>
    </w:p>
    <w:p w:rsidR="0070699D" w:rsidRPr="00AF647D" w:rsidRDefault="0070699D" w:rsidP="0070699D">
      <w:pPr>
        <w:ind w:firstLineChars="200" w:firstLine="640"/>
        <w:jc w:val="left"/>
        <w:rPr>
          <w:rFonts w:ascii="仿宋" w:eastAsia="仿宋" w:hAnsi="仿宋" w:cs="仿宋"/>
          <w:sz w:val="32"/>
        </w:rPr>
      </w:pPr>
      <w:r w:rsidRPr="00AF647D">
        <w:rPr>
          <w:rFonts w:ascii="仿宋" w:eastAsia="仿宋" w:hAnsi="仿宋" w:cs="仿宋" w:hint="eastAsia"/>
          <w:sz w:val="32"/>
        </w:rPr>
        <w:t>一、资金使用效益高。表现在:一是保障了职工工资,津补贴和追加工资的及时足额发放,没有出现拖欠职工工资,离退休费用等现象；二是保障了各项工作的正常运转,资金支付正常；三是财政供养人员控制较好；四是资金使用无虚列支出及随意使用现象,无大额现金支付现象。</w:t>
      </w:r>
    </w:p>
    <w:p w:rsidR="0070699D" w:rsidRPr="00AF647D" w:rsidRDefault="0070699D" w:rsidP="0070699D">
      <w:pPr>
        <w:ind w:firstLineChars="200" w:firstLine="640"/>
        <w:jc w:val="left"/>
        <w:rPr>
          <w:rFonts w:ascii="仿宋" w:eastAsia="仿宋" w:hAnsi="仿宋" w:cs="仿宋"/>
          <w:sz w:val="32"/>
        </w:rPr>
      </w:pPr>
      <w:r w:rsidRPr="00AF647D">
        <w:rPr>
          <w:rFonts w:ascii="仿宋" w:eastAsia="仿宋" w:hAnsi="仿宋" w:cs="仿宋" w:hint="eastAsia"/>
          <w:sz w:val="32"/>
        </w:rPr>
        <w:t>二、资金使用社会效益好。一是保障了安全生产监督管理工作的顺利进行；二是保障了保民村“精准扶贫”经费开支。</w:t>
      </w:r>
    </w:p>
    <w:p w:rsidR="00082093" w:rsidRPr="00AF647D" w:rsidRDefault="0070699D" w:rsidP="0070699D">
      <w:pPr>
        <w:ind w:firstLineChars="200" w:firstLine="640"/>
        <w:jc w:val="left"/>
        <w:rPr>
          <w:rFonts w:ascii="仿宋" w:eastAsia="仿宋" w:hAnsi="仿宋" w:cs="仿宋"/>
          <w:sz w:val="32"/>
        </w:rPr>
      </w:pPr>
      <w:r w:rsidRPr="00AF647D">
        <w:rPr>
          <w:rFonts w:ascii="仿宋" w:eastAsia="仿宋" w:hAnsi="仿宋" w:cs="仿宋" w:hint="eastAsia"/>
          <w:sz w:val="32"/>
        </w:rPr>
        <w:t>三、可持续方面。生产安全是良好市场秩序和经济可持续发展的根本，是应急管理工作的最低要求和最高标准，强化安全保障和服务，提升执法精准性和内部管理运行的高效化。持续深化源头管理，开展宣传教育培训，提</w:t>
      </w:r>
      <w:r w:rsidRPr="00AF647D">
        <w:rPr>
          <w:rFonts w:ascii="仿宋" w:eastAsia="仿宋" w:hAnsi="仿宋" w:cs="仿宋" w:hint="eastAsia"/>
          <w:sz w:val="32"/>
        </w:rPr>
        <w:lastRenderedPageBreak/>
        <w:t>升从业人员安全意识。推进智慧安监，切实提升安全履职能力，进一步推进工作规范化，信息化水平。</w:t>
      </w:r>
    </w:p>
    <w:p w:rsidR="00082093" w:rsidRDefault="00297595">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082093" w:rsidRDefault="00297595">
      <w:pPr>
        <w:ind w:firstLine="640"/>
        <w:jc w:val="left"/>
        <w:rPr>
          <w:rFonts w:ascii="楷体" w:eastAsia="楷体" w:hAnsi="楷体" w:cs="楷体"/>
          <w:color w:val="FF0000"/>
          <w:sz w:val="32"/>
        </w:rPr>
      </w:pPr>
      <w:r>
        <w:rPr>
          <w:rFonts w:ascii="楷体" w:eastAsia="楷体" w:hAnsi="楷体" w:cs="楷体"/>
          <w:sz w:val="32"/>
        </w:rPr>
        <w:t>（一）预决算收支增减变化情况。</w:t>
      </w:r>
    </w:p>
    <w:p w:rsidR="00B603E7" w:rsidRPr="00BB1068" w:rsidRDefault="00B603E7" w:rsidP="00B603E7">
      <w:pPr>
        <w:spacing w:line="520" w:lineRule="exact"/>
        <w:rPr>
          <w:rFonts w:ascii="仿宋" w:eastAsia="仿宋" w:hAnsi="仿宋" w:cs="仿宋"/>
          <w:sz w:val="32"/>
        </w:rPr>
      </w:pPr>
      <w:r w:rsidRPr="00BB1068">
        <w:rPr>
          <w:rFonts w:ascii="仿宋" w:eastAsia="仿宋" w:hAnsi="仿宋" w:cs="仿宋" w:hint="eastAsia"/>
          <w:sz w:val="32"/>
        </w:rPr>
        <w:t>（</w:t>
      </w:r>
      <w:r w:rsidRPr="00BB1068">
        <w:rPr>
          <w:rFonts w:ascii="仿宋" w:eastAsia="仿宋" w:hAnsi="仿宋" w:cs="仿宋"/>
          <w:sz w:val="32"/>
        </w:rPr>
        <w:t>1</w:t>
      </w:r>
      <w:r w:rsidRPr="00BB1068">
        <w:rPr>
          <w:rFonts w:ascii="仿宋" w:eastAsia="仿宋" w:hAnsi="仿宋" w:cs="仿宋" w:hint="eastAsia"/>
          <w:sz w:val="32"/>
        </w:rPr>
        <w:t>）①本局</w:t>
      </w:r>
      <w:r w:rsidRPr="00BB1068">
        <w:rPr>
          <w:rFonts w:ascii="仿宋" w:eastAsia="仿宋" w:hAnsi="仿宋" w:cs="仿宋"/>
          <w:sz w:val="32"/>
        </w:rPr>
        <w:t>2019</w:t>
      </w:r>
      <w:r w:rsidRPr="00BB1068">
        <w:rPr>
          <w:rFonts w:ascii="仿宋" w:eastAsia="仿宋" w:hAnsi="仿宋" w:cs="仿宋" w:hint="eastAsia"/>
          <w:sz w:val="32"/>
        </w:rPr>
        <w:t>年年初预算收入</w:t>
      </w:r>
      <w:r w:rsidRPr="00BB1068">
        <w:rPr>
          <w:rFonts w:ascii="仿宋" w:eastAsia="仿宋" w:hAnsi="仿宋" w:cs="仿宋"/>
          <w:sz w:val="32"/>
        </w:rPr>
        <w:t>355.94</w:t>
      </w:r>
      <w:r w:rsidRPr="00BB1068">
        <w:rPr>
          <w:rFonts w:ascii="仿宋" w:eastAsia="仿宋" w:hAnsi="仿宋" w:cs="仿宋" w:hint="eastAsia"/>
          <w:sz w:val="32"/>
        </w:rPr>
        <w:t>万元，全部为一般公共预算财政拨款。</w:t>
      </w:r>
      <w:r w:rsidRPr="00BB1068">
        <w:rPr>
          <w:rFonts w:ascii="仿宋" w:eastAsia="仿宋" w:hAnsi="仿宋" w:cs="仿宋"/>
          <w:sz w:val="32"/>
        </w:rPr>
        <w:t>2019</w:t>
      </w:r>
      <w:r w:rsidRPr="00BB1068">
        <w:rPr>
          <w:rFonts w:ascii="仿宋" w:eastAsia="仿宋" w:hAnsi="仿宋" w:cs="仿宋" w:hint="eastAsia"/>
          <w:sz w:val="32"/>
        </w:rPr>
        <w:t>年实际预算拨款收入为</w:t>
      </w:r>
      <w:r w:rsidRPr="00BB1068">
        <w:rPr>
          <w:rFonts w:ascii="仿宋" w:eastAsia="仿宋" w:hAnsi="仿宋" w:cs="仿宋"/>
          <w:sz w:val="32"/>
        </w:rPr>
        <w:t>484.47</w:t>
      </w:r>
      <w:r w:rsidRPr="00BB1068">
        <w:rPr>
          <w:rFonts w:ascii="仿宋" w:eastAsia="仿宋" w:hAnsi="仿宋" w:cs="仿宋" w:hint="eastAsia"/>
          <w:sz w:val="32"/>
        </w:rPr>
        <w:t>万元，一般公共财政预算拨款收入</w:t>
      </w:r>
      <w:r w:rsidRPr="00BB1068">
        <w:rPr>
          <w:rFonts w:ascii="仿宋" w:eastAsia="仿宋" w:hAnsi="仿宋" w:cs="仿宋"/>
          <w:sz w:val="32"/>
        </w:rPr>
        <w:t>484.47</w:t>
      </w:r>
      <w:r w:rsidRPr="00BB1068">
        <w:rPr>
          <w:rFonts w:ascii="仿宋" w:eastAsia="仿宋" w:hAnsi="仿宋" w:cs="仿宋" w:hint="eastAsia"/>
          <w:sz w:val="32"/>
        </w:rPr>
        <w:t>万元，实际收入与预算对比，执行率为</w:t>
      </w:r>
      <w:r w:rsidRPr="00BB1068">
        <w:rPr>
          <w:rFonts w:ascii="仿宋" w:eastAsia="仿宋" w:hAnsi="仿宋" w:cs="仿宋"/>
          <w:sz w:val="32"/>
        </w:rPr>
        <w:t>136.11%</w:t>
      </w:r>
      <w:r w:rsidRPr="00BB1068">
        <w:rPr>
          <w:rFonts w:ascii="仿宋" w:eastAsia="仿宋" w:hAnsi="仿宋" w:cs="仿宋" w:hint="eastAsia"/>
          <w:sz w:val="32"/>
        </w:rPr>
        <w:t>。</w:t>
      </w:r>
    </w:p>
    <w:p w:rsidR="00B603E7" w:rsidRPr="00BB1068" w:rsidRDefault="00B603E7" w:rsidP="00B603E7">
      <w:pPr>
        <w:snapToGrid w:val="0"/>
        <w:spacing w:line="600" w:lineRule="exact"/>
        <w:ind w:firstLineChars="200" w:firstLine="640"/>
        <w:rPr>
          <w:rFonts w:ascii="仿宋" w:eastAsia="仿宋" w:hAnsi="仿宋" w:cs="仿宋"/>
          <w:sz w:val="32"/>
        </w:rPr>
      </w:pPr>
      <w:r w:rsidRPr="00BB1068">
        <w:rPr>
          <w:rFonts w:ascii="仿宋" w:eastAsia="仿宋" w:hAnsi="仿宋" w:cs="仿宋" w:hint="eastAsia"/>
          <w:sz w:val="32"/>
        </w:rPr>
        <w:t>②本局</w:t>
      </w:r>
      <w:r w:rsidRPr="00BB1068">
        <w:rPr>
          <w:rFonts w:ascii="仿宋" w:eastAsia="仿宋" w:hAnsi="仿宋" w:cs="仿宋"/>
          <w:sz w:val="32"/>
        </w:rPr>
        <w:t>2019</w:t>
      </w:r>
      <w:r w:rsidRPr="00BB1068">
        <w:rPr>
          <w:rFonts w:ascii="仿宋" w:eastAsia="仿宋" w:hAnsi="仿宋" w:cs="仿宋" w:hint="eastAsia"/>
          <w:sz w:val="32"/>
        </w:rPr>
        <w:t>年年初预算支出</w:t>
      </w:r>
      <w:r w:rsidRPr="00BB1068">
        <w:rPr>
          <w:rFonts w:ascii="仿宋" w:eastAsia="仿宋" w:hAnsi="仿宋" w:cs="仿宋"/>
          <w:sz w:val="32"/>
        </w:rPr>
        <w:t>355.94</w:t>
      </w:r>
      <w:r w:rsidRPr="00BB1068">
        <w:rPr>
          <w:rFonts w:ascii="仿宋" w:eastAsia="仿宋" w:hAnsi="仿宋" w:cs="仿宋" w:hint="eastAsia"/>
          <w:sz w:val="32"/>
        </w:rPr>
        <w:t>万元，其中，基本支出</w:t>
      </w:r>
      <w:r w:rsidRPr="00BB1068">
        <w:rPr>
          <w:rFonts w:ascii="仿宋" w:eastAsia="仿宋" w:hAnsi="仿宋" w:cs="仿宋"/>
          <w:sz w:val="32"/>
        </w:rPr>
        <w:t>246.68</w:t>
      </w:r>
      <w:r w:rsidRPr="00BB1068">
        <w:rPr>
          <w:rFonts w:ascii="仿宋" w:eastAsia="仿宋" w:hAnsi="仿宋" w:cs="仿宋" w:hint="eastAsia"/>
          <w:sz w:val="32"/>
        </w:rPr>
        <w:t>万元，项目支出</w:t>
      </w:r>
      <w:r w:rsidRPr="00BB1068">
        <w:rPr>
          <w:rFonts w:ascii="仿宋" w:eastAsia="仿宋" w:hAnsi="仿宋" w:cs="仿宋"/>
          <w:sz w:val="32"/>
        </w:rPr>
        <w:t>109.26</w:t>
      </w:r>
      <w:r w:rsidRPr="00BB1068">
        <w:rPr>
          <w:rFonts w:ascii="仿宋" w:eastAsia="仿宋" w:hAnsi="仿宋" w:cs="仿宋" w:hint="eastAsia"/>
          <w:sz w:val="32"/>
        </w:rPr>
        <w:t>万元。基本支出中人员经费</w:t>
      </w:r>
      <w:r w:rsidRPr="00BB1068">
        <w:rPr>
          <w:rFonts w:ascii="仿宋" w:eastAsia="仿宋" w:hAnsi="仿宋" w:cs="仿宋"/>
          <w:sz w:val="32"/>
        </w:rPr>
        <w:t>216.68</w:t>
      </w:r>
      <w:r w:rsidRPr="00BB1068">
        <w:rPr>
          <w:rFonts w:ascii="仿宋" w:eastAsia="仿宋" w:hAnsi="仿宋" w:cs="仿宋" w:hint="eastAsia"/>
          <w:sz w:val="32"/>
        </w:rPr>
        <w:t>万元，日常公用经费</w:t>
      </w:r>
      <w:r w:rsidRPr="00BB1068">
        <w:rPr>
          <w:rFonts w:ascii="仿宋" w:eastAsia="仿宋" w:hAnsi="仿宋" w:cs="仿宋"/>
          <w:sz w:val="32"/>
        </w:rPr>
        <w:t>30.09</w:t>
      </w:r>
      <w:r w:rsidRPr="00BB1068">
        <w:rPr>
          <w:rFonts w:ascii="仿宋" w:eastAsia="仿宋" w:hAnsi="仿宋" w:cs="仿宋" w:hint="eastAsia"/>
          <w:sz w:val="32"/>
        </w:rPr>
        <w:t>万元。</w:t>
      </w:r>
      <w:r w:rsidRPr="00BB1068">
        <w:rPr>
          <w:rFonts w:ascii="仿宋" w:eastAsia="仿宋" w:hAnsi="仿宋" w:cs="仿宋"/>
          <w:sz w:val="32"/>
        </w:rPr>
        <w:t>2019</w:t>
      </w:r>
      <w:r w:rsidRPr="00BB1068">
        <w:rPr>
          <w:rFonts w:ascii="仿宋" w:eastAsia="仿宋" w:hAnsi="仿宋" w:cs="仿宋" w:hint="eastAsia"/>
          <w:sz w:val="32"/>
        </w:rPr>
        <w:t>年实际预算支出为</w:t>
      </w:r>
      <w:r w:rsidRPr="00BB1068">
        <w:rPr>
          <w:rFonts w:ascii="仿宋" w:eastAsia="仿宋" w:hAnsi="仿宋" w:cs="仿宋"/>
          <w:sz w:val="32"/>
        </w:rPr>
        <w:t>474.26</w:t>
      </w:r>
      <w:r w:rsidRPr="00BB1068">
        <w:rPr>
          <w:rFonts w:ascii="仿宋" w:eastAsia="仿宋" w:hAnsi="仿宋" w:cs="仿宋" w:hint="eastAsia"/>
          <w:sz w:val="32"/>
        </w:rPr>
        <w:t>万元。其中基本支出</w:t>
      </w:r>
      <w:r w:rsidRPr="00BB1068">
        <w:rPr>
          <w:rFonts w:ascii="仿宋" w:eastAsia="仿宋" w:hAnsi="仿宋" w:cs="仿宋"/>
          <w:sz w:val="32"/>
        </w:rPr>
        <w:t>246.77</w:t>
      </w:r>
      <w:r w:rsidRPr="00BB1068">
        <w:rPr>
          <w:rFonts w:ascii="仿宋" w:eastAsia="仿宋" w:hAnsi="仿宋" w:cs="仿宋" w:hint="eastAsia"/>
          <w:sz w:val="32"/>
        </w:rPr>
        <w:t>万元，项目支出</w:t>
      </w:r>
      <w:r w:rsidRPr="00BB1068">
        <w:rPr>
          <w:rFonts w:ascii="仿宋" w:eastAsia="仿宋" w:hAnsi="仿宋" w:cs="仿宋"/>
          <w:sz w:val="32"/>
        </w:rPr>
        <w:t>227.48</w:t>
      </w:r>
      <w:r w:rsidRPr="00BB1068">
        <w:rPr>
          <w:rFonts w:ascii="仿宋" w:eastAsia="仿宋" w:hAnsi="仿宋" w:cs="仿宋" w:hint="eastAsia"/>
          <w:sz w:val="32"/>
        </w:rPr>
        <w:t>万元；基本支出中人员经费</w:t>
      </w:r>
      <w:r w:rsidRPr="00BB1068">
        <w:rPr>
          <w:rFonts w:ascii="仿宋" w:eastAsia="仿宋" w:hAnsi="仿宋" w:cs="仿宋"/>
          <w:sz w:val="32"/>
        </w:rPr>
        <w:t>216.68</w:t>
      </w:r>
      <w:r w:rsidRPr="00BB1068">
        <w:rPr>
          <w:rFonts w:ascii="仿宋" w:eastAsia="仿宋" w:hAnsi="仿宋" w:cs="仿宋" w:hint="eastAsia"/>
          <w:sz w:val="32"/>
        </w:rPr>
        <w:t>万元，日常公用经费</w:t>
      </w:r>
      <w:r w:rsidRPr="00BB1068">
        <w:rPr>
          <w:rFonts w:ascii="仿宋" w:eastAsia="仿宋" w:hAnsi="仿宋" w:cs="仿宋"/>
          <w:sz w:val="32"/>
        </w:rPr>
        <w:t>30.09</w:t>
      </w:r>
      <w:r w:rsidRPr="00BB1068">
        <w:rPr>
          <w:rFonts w:ascii="仿宋" w:eastAsia="仿宋" w:hAnsi="仿宋" w:cs="仿宋" w:hint="eastAsia"/>
          <w:sz w:val="32"/>
        </w:rPr>
        <w:t>万元。实际支出与预算对比，执行率分别为</w:t>
      </w:r>
      <w:r w:rsidRPr="00BB1068">
        <w:rPr>
          <w:rFonts w:ascii="仿宋" w:eastAsia="仿宋" w:hAnsi="仿宋" w:cs="仿宋"/>
          <w:sz w:val="32"/>
        </w:rPr>
        <w:t>133.24%</w:t>
      </w:r>
      <w:r w:rsidRPr="00BB1068">
        <w:rPr>
          <w:rFonts w:ascii="仿宋" w:eastAsia="仿宋" w:hAnsi="仿宋" w:cs="仿宋" w:hint="eastAsia"/>
          <w:sz w:val="32"/>
        </w:rPr>
        <w:t>，</w:t>
      </w:r>
      <w:r w:rsidRPr="00BB1068">
        <w:rPr>
          <w:rFonts w:ascii="仿宋" w:eastAsia="仿宋" w:hAnsi="仿宋" w:cs="仿宋"/>
          <w:sz w:val="32"/>
        </w:rPr>
        <w:t>100.04%</w:t>
      </w:r>
      <w:r w:rsidRPr="00BB1068">
        <w:rPr>
          <w:rFonts w:ascii="仿宋" w:eastAsia="仿宋" w:hAnsi="仿宋" w:cs="仿宋" w:hint="eastAsia"/>
          <w:sz w:val="32"/>
        </w:rPr>
        <w:t>，</w:t>
      </w:r>
      <w:r w:rsidRPr="00BB1068">
        <w:rPr>
          <w:rFonts w:ascii="仿宋" w:eastAsia="仿宋" w:hAnsi="仿宋" w:cs="仿宋"/>
          <w:sz w:val="32"/>
        </w:rPr>
        <w:t>208.20%</w:t>
      </w:r>
      <w:r w:rsidRPr="00BB1068">
        <w:rPr>
          <w:rFonts w:ascii="仿宋" w:eastAsia="仿宋" w:hAnsi="仿宋" w:cs="仿宋" w:hint="eastAsia"/>
          <w:sz w:val="32"/>
        </w:rPr>
        <w:t>，</w:t>
      </w:r>
      <w:r w:rsidRPr="00BB1068">
        <w:rPr>
          <w:rFonts w:ascii="仿宋" w:eastAsia="仿宋" w:hAnsi="仿宋" w:cs="仿宋"/>
          <w:sz w:val="32"/>
        </w:rPr>
        <w:t>100.00%</w:t>
      </w:r>
      <w:r w:rsidRPr="00BB1068">
        <w:rPr>
          <w:rFonts w:ascii="仿宋" w:eastAsia="仿宋" w:hAnsi="仿宋" w:cs="仿宋" w:hint="eastAsia"/>
          <w:sz w:val="32"/>
        </w:rPr>
        <w:t>，</w:t>
      </w:r>
      <w:r w:rsidRPr="00BB1068">
        <w:rPr>
          <w:rFonts w:ascii="仿宋" w:eastAsia="仿宋" w:hAnsi="仿宋" w:cs="仿宋"/>
          <w:sz w:val="32"/>
        </w:rPr>
        <w:t>100.00%</w:t>
      </w:r>
      <w:r w:rsidRPr="00BB1068">
        <w:rPr>
          <w:rFonts w:ascii="仿宋" w:eastAsia="仿宋" w:hAnsi="仿宋" w:cs="仿宋" w:hint="eastAsia"/>
          <w:sz w:val="32"/>
        </w:rPr>
        <w:t>，</w:t>
      </w:r>
    </w:p>
    <w:p w:rsidR="00B603E7" w:rsidRPr="00BB1068" w:rsidRDefault="00B603E7" w:rsidP="00B603E7">
      <w:pPr>
        <w:widowControl/>
        <w:numPr>
          <w:ilvl w:val="0"/>
          <w:numId w:val="5"/>
        </w:numPr>
        <w:spacing w:line="520" w:lineRule="exact"/>
        <w:ind w:firstLine="640"/>
        <w:rPr>
          <w:rFonts w:ascii="仿宋" w:eastAsia="仿宋" w:hAnsi="仿宋" w:cs="仿宋"/>
          <w:sz w:val="32"/>
        </w:rPr>
      </w:pPr>
      <w:r w:rsidRPr="00BB1068">
        <w:rPr>
          <w:rFonts w:ascii="仿宋" w:eastAsia="仿宋" w:hAnsi="仿宋" w:cs="仿宋" w:hint="eastAsia"/>
          <w:sz w:val="32"/>
        </w:rPr>
        <w:t>差异原因分析。</w:t>
      </w:r>
    </w:p>
    <w:p w:rsidR="00B603E7" w:rsidRPr="00BB1068" w:rsidRDefault="00B603E7" w:rsidP="00B603E7">
      <w:pPr>
        <w:spacing w:line="520" w:lineRule="exact"/>
        <w:ind w:firstLineChars="200" w:firstLine="640"/>
        <w:rPr>
          <w:rFonts w:ascii="仿宋" w:eastAsia="仿宋" w:hAnsi="仿宋" w:cs="仿宋"/>
          <w:sz w:val="32"/>
        </w:rPr>
      </w:pPr>
      <w:r w:rsidRPr="00BB1068">
        <w:rPr>
          <w:rFonts w:ascii="仿宋" w:eastAsia="仿宋" w:hAnsi="仿宋" w:cs="仿宋" w:hint="eastAsia"/>
          <w:sz w:val="32"/>
        </w:rPr>
        <w:t>①实际收入与预算的差异主要原因是各项项目资金增加和工资调标所致。</w:t>
      </w:r>
    </w:p>
    <w:p w:rsidR="00B603E7" w:rsidRPr="00BB1068" w:rsidRDefault="00B603E7" w:rsidP="00BB1068">
      <w:pPr>
        <w:snapToGrid w:val="0"/>
        <w:spacing w:line="600" w:lineRule="exact"/>
        <w:ind w:firstLineChars="200" w:firstLine="640"/>
        <w:rPr>
          <w:rFonts w:ascii="仿宋" w:eastAsia="仿宋" w:hAnsi="仿宋" w:cs="仿宋"/>
          <w:sz w:val="32"/>
        </w:rPr>
      </w:pPr>
      <w:r w:rsidRPr="00BB1068">
        <w:rPr>
          <w:rFonts w:ascii="仿宋" w:eastAsia="仿宋" w:hAnsi="仿宋" w:cs="仿宋" w:hint="eastAsia"/>
          <w:sz w:val="32"/>
        </w:rPr>
        <w:t>②实际支出与预算的差异主要原因是各项项目资金增加。</w:t>
      </w:r>
    </w:p>
    <w:p w:rsidR="00082093" w:rsidRDefault="00297595">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082093" w:rsidRPr="00AF647D" w:rsidRDefault="00297595">
      <w:pPr>
        <w:rPr>
          <w:rFonts w:ascii="仿宋" w:eastAsia="仿宋" w:hAnsi="仿宋" w:cs="仿宋"/>
          <w:sz w:val="32"/>
        </w:rPr>
      </w:pPr>
      <w:r w:rsidRPr="00AF647D">
        <w:rPr>
          <w:rFonts w:ascii="仿宋" w:eastAsia="仿宋" w:hAnsi="仿宋" w:cs="仿宋" w:hint="eastAsia"/>
          <w:sz w:val="32"/>
        </w:rPr>
        <w:t>本部门</w:t>
      </w:r>
      <w:r w:rsidRPr="00AF647D">
        <w:rPr>
          <w:rFonts w:ascii="仿宋" w:eastAsia="仿宋" w:hAnsi="仿宋" w:cs="仿宋"/>
          <w:sz w:val="32"/>
        </w:rPr>
        <w:t>201</w:t>
      </w:r>
      <w:r w:rsidR="00BB1068" w:rsidRPr="00AF647D">
        <w:rPr>
          <w:rFonts w:ascii="仿宋" w:eastAsia="仿宋" w:hAnsi="仿宋" w:cs="仿宋" w:hint="eastAsia"/>
          <w:sz w:val="32"/>
        </w:rPr>
        <w:t>9</w:t>
      </w:r>
      <w:r w:rsidRPr="00AF647D">
        <w:rPr>
          <w:rFonts w:ascii="仿宋" w:eastAsia="仿宋" w:hAnsi="仿宋" w:cs="仿宋" w:hint="eastAsia"/>
          <w:sz w:val="32"/>
        </w:rPr>
        <w:t>年度机关</w:t>
      </w:r>
      <w:r>
        <w:rPr>
          <w:rFonts w:ascii="仿宋" w:eastAsia="仿宋" w:hAnsi="仿宋" w:cs="仿宋"/>
          <w:sz w:val="32"/>
        </w:rPr>
        <w:t>运行经费支出</w:t>
      </w:r>
      <w:r w:rsidR="00BB1068">
        <w:rPr>
          <w:rFonts w:ascii="仿宋" w:eastAsia="仿宋" w:hAnsi="仿宋" w:cs="仿宋" w:hint="eastAsia"/>
          <w:sz w:val="32"/>
        </w:rPr>
        <w:t>246.77</w:t>
      </w:r>
      <w:r>
        <w:rPr>
          <w:rFonts w:ascii="仿宋" w:eastAsia="仿宋" w:hAnsi="仿宋" w:cs="仿宋"/>
          <w:sz w:val="32"/>
        </w:rPr>
        <w:t>万元，较上年</w:t>
      </w:r>
      <w:r>
        <w:rPr>
          <w:rFonts w:ascii="仿宋" w:eastAsia="仿宋" w:hAnsi="仿宋" w:cs="仿宋"/>
          <w:sz w:val="32"/>
        </w:rPr>
        <w:lastRenderedPageBreak/>
        <w:t>减少</w:t>
      </w:r>
      <w:r w:rsidR="00BB1068">
        <w:rPr>
          <w:rFonts w:ascii="仿宋" w:eastAsia="仿宋" w:hAnsi="仿宋" w:cs="仿宋" w:hint="eastAsia"/>
          <w:sz w:val="32"/>
        </w:rPr>
        <w:t>26.92</w:t>
      </w:r>
      <w:r>
        <w:rPr>
          <w:rFonts w:ascii="仿宋" w:eastAsia="仿宋" w:hAnsi="仿宋" w:cs="仿宋"/>
          <w:sz w:val="32"/>
        </w:rPr>
        <w:t>万元，减</w:t>
      </w:r>
      <w:r w:rsidR="00BB1068">
        <w:rPr>
          <w:rFonts w:ascii="仿宋" w:eastAsia="仿宋" w:hAnsi="仿宋" w:cs="仿宋" w:hint="eastAsia"/>
          <w:sz w:val="32"/>
        </w:rPr>
        <w:t>少10.9</w:t>
      </w:r>
      <w:r>
        <w:rPr>
          <w:rFonts w:ascii="仿宋" w:eastAsia="仿宋" w:hAnsi="仿宋" w:cs="仿宋"/>
          <w:sz w:val="32"/>
        </w:rPr>
        <w:t>%，主要原因是</w:t>
      </w:r>
      <w:r>
        <w:rPr>
          <w:rFonts w:ascii="仿宋_GB2312" w:eastAsia="仿宋_GB2312" w:hint="eastAsia"/>
          <w:sz w:val="32"/>
          <w:szCs w:val="32"/>
        </w:rPr>
        <w:t>：</w:t>
      </w:r>
      <w:r w:rsidR="00BB1068" w:rsidRPr="00AF647D">
        <w:rPr>
          <w:rFonts w:ascii="仿宋" w:eastAsia="仿宋" w:hAnsi="仿宋" w:cs="仿宋" w:hint="eastAsia"/>
          <w:sz w:val="32"/>
        </w:rPr>
        <w:t>严控财政支出，响应过“紧日子”。</w:t>
      </w:r>
    </w:p>
    <w:p w:rsidR="00235A22" w:rsidRDefault="00235A22">
      <w:pPr>
        <w:ind w:firstLine="640"/>
        <w:jc w:val="left"/>
        <w:rPr>
          <w:rFonts w:ascii="楷体" w:eastAsia="楷体" w:hAnsi="楷体" w:cs="楷体"/>
          <w:sz w:val="32"/>
        </w:rPr>
      </w:pPr>
    </w:p>
    <w:p w:rsidR="00BB1068" w:rsidRDefault="00297595">
      <w:pPr>
        <w:ind w:firstLine="640"/>
        <w:jc w:val="left"/>
        <w:rPr>
          <w:rFonts w:ascii="楷体" w:eastAsia="楷体" w:hAnsi="楷体" w:cs="楷体"/>
          <w:sz w:val="32"/>
        </w:rPr>
      </w:pPr>
      <w:r>
        <w:rPr>
          <w:rFonts w:ascii="楷体" w:eastAsia="楷体" w:hAnsi="楷体" w:cs="楷体"/>
          <w:sz w:val="32"/>
        </w:rPr>
        <w:t>（三）政府采购支出情况。</w:t>
      </w:r>
    </w:p>
    <w:p w:rsidR="00082093" w:rsidRDefault="00BB1068" w:rsidP="00DB199E">
      <w:pPr>
        <w:ind w:firstLine="640"/>
        <w:jc w:val="left"/>
        <w:rPr>
          <w:rFonts w:ascii="仿宋_GB2312" w:eastAsia="仿宋_GB2312"/>
          <w:sz w:val="32"/>
          <w:szCs w:val="32"/>
        </w:rPr>
      </w:pPr>
      <w:r>
        <w:rPr>
          <w:rFonts w:ascii="仿宋_GB2312" w:eastAsia="仿宋_GB2312" w:hint="eastAsia"/>
          <w:sz w:val="32"/>
          <w:szCs w:val="32"/>
        </w:rPr>
        <w:t>无</w:t>
      </w:r>
    </w:p>
    <w:p w:rsidR="00E0105E" w:rsidRPr="00235A22" w:rsidRDefault="00E0105E" w:rsidP="00DB199E">
      <w:pPr>
        <w:ind w:firstLine="640"/>
        <w:jc w:val="left"/>
        <w:rPr>
          <w:rFonts w:ascii="楷体" w:eastAsia="楷体" w:hAnsi="楷体" w:cs="楷体"/>
          <w:sz w:val="32"/>
        </w:rPr>
      </w:pPr>
      <w:r w:rsidRPr="00235A22">
        <w:rPr>
          <w:rFonts w:ascii="楷体" w:eastAsia="楷体" w:hAnsi="楷体" w:cs="楷体" w:hint="eastAsia"/>
          <w:sz w:val="32"/>
        </w:rPr>
        <w:t>(四)国有资产占用情况</w:t>
      </w:r>
      <w:r w:rsidR="00235A22">
        <w:rPr>
          <w:rFonts w:ascii="楷体" w:eastAsia="楷体" w:hAnsi="楷体" w:cs="楷体" w:hint="eastAsia"/>
          <w:sz w:val="32"/>
        </w:rPr>
        <w:t>。</w:t>
      </w:r>
    </w:p>
    <w:p w:rsidR="006A2B13" w:rsidRDefault="00E0105E" w:rsidP="006A2B13">
      <w:pPr>
        <w:rPr>
          <w:rFonts w:ascii="仿宋" w:eastAsia="仿宋" w:hAnsi="仿宋" w:cs="宋体"/>
          <w:color w:val="000000"/>
          <w:kern w:val="0"/>
          <w:sz w:val="32"/>
          <w:szCs w:val="32"/>
        </w:rPr>
      </w:pPr>
      <w:r>
        <w:rPr>
          <w:rFonts w:ascii="仿宋_GB2312" w:eastAsia="仿宋_GB2312" w:hint="eastAsia"/>
          <w:sz w:val="32"/>
          <w:szCs w:val="32"/>
        </w:rPr>
        <w:t>截止2019年12月31日，本部门有车辆1辆，为一般公务用车。</w:t>
      </w:r>
      <w:r w:rsidR="006A2B13">
        <w:rPr>
          <w:rFonts w:ascii="仿宋" w:eastAsia="仿宋" w:hAnsi="仿宋" w:cs="宋体" w:hint="eastAsia"/>
          <w:color w:val="000000"/>
          <w:kern w:val="0"/>
          <w:sz w:val="32"/>
          <w:szCs w:val="32"/>
        </w:rPr>
        <w:t>截止2019年12月31日，我单位通用设备251台，资产价值114.47万元，专用设备44台，资产价值30.52万元，办公家具等2资产价值15.20万元，资产总价值160.20万元。</w:t>
      </w:r>
    </w:p>
    <w:p w:rsidR="00235A22" w:rsidRPr="006A2B13" w:rsidRDefault="00235A22" w:rsidP="006A2B13">
      <w:pPr>
        <w:ind w:firstLine="640"/>
        <w:jc w:val="left"/>
        <w:rPr>
          <w:rFonts w:ascii="宋体" w:eastAsia="宋体" w:hAnsi="宋体" w:cs="宋体"/>
          <w:sz w:val="44"/>
        </w:rPr>
      </w:pPr>
    </w:p>
    <w:p w:rsidR="00082093" w:rsidRDefault="00297595">
      <w:pPr>
        <w:jc w:val="center"/>
        <w:rPr>
          <w:rFonts w:ascii="方正小标宋_GBK" w:eastAsia="方正小标宋_GBK" w:hAnsi="方正小标宋_GBK" w:cs="方正小标宋_GBK"/>
          <w:sz w:val="44"/>
        </w:rPr>
      </w:pPr>
      <w:r>
        <w:rPr>
          <w:rFonts w:ascii="宋体" w:eastAsia="宋体" w:hAnsi="宋体" w:cs="宋体"/>
          <w:sz w:val="44"/>
        </w:rPr>
        <w:t>第四部分名词解释</w:t>
      </w:r>
    </w:p>
    <w:p w:rsidR="00082093" w:rsidRDefault="00082093">
      <w:pPr>
        <w:ind w:firstLine="643"/>
        <w:jc w:val="left"/>
        <w:rPr>
          <w:rFonts w:ascii="仿宋" w:eastAsia="仿宋" w:hAnsi="仿宋" w:cs="仿宋"/>
          <w:b/>
          <w:sz w:val="32"/>
        </w:rPr>
      </w:pPr>
    </w:p>
    <w:p w:rsidR="00082093" w:rsidRDefault="00297595">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082093" w:rsidRDefault="00297595">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082093" w:rsidRDefault="00297595">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082093" w:rsidRDefault="00297595">
      <w:pPr>
        <w:ind w:firstLine="643"/>
        <w:jc w:val="left"/>
        <w:rPr>
          <w:rFonts w:ascii="仿宋" w:eastAsia="仿宋" w:hAnsi="仿宋" w:cs="仿宋"/>
          <w:sz w:val="32"/>
        </w:rPr>
      </w:pPr>
      <w:r>
        <w:rPr>
          <w:rFonts w:ascii="仿宋" w:eastAsia="仿宋" w:hAnsi="仿宋" w:cs="仿宋"/>
          <w:b/>
          <w:sz w:val="32"/>
        </w:rPr>
        <w:lastRenderedPageBreak/>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082093" w:rsidRDefault="00297595">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082093" w:rsidRDefault="00297595">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082093" w:rsidRDefault="00297595">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082093" w:rsidRDefault="00297595">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082093" w:rsidRDefault="00297595">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082093" w:rsidRDefault="00297595">
      <w:pPr>
        <w:jc w:val="left"/>
        <w:rPr>
          <w:rFonts w:ascii="仿宋" w:eastAsia="仿宋" w:hAnsi="仿宋" w:cs="仿宋"/>
          <w:sz w:val="32"/>
        </w:rPr>
      </w:pPr>
      <w:r>
        <w:rPr>
          <w:rFonts w:ascii="仿宋" w:eastAsia="仿宋" w:hAnsi="仿宋" w:cs="仿宋"/>
          <w:sz w:val="32"/>
        </w:rPr>
        <w:t xml:space="preserve">作任务而发生的人员支出和公用支出。 </w:t>
      </w:r>
    </w:p>
    <w:p w:rsidR="00082093" w:rsidRDefault="00297595">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082093" w:rsidRDefault="00297595">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指事业单位在专业业务活动及其辅</w:t>
      </w:r>
      <w:r>
        <w:rPr>
          <w:rFonts w:ascii="仿宋" w:eastAsia="仿宋" w:hAnsi="仿宋" w:cs="仿宋"/>
          <w:sz w:val="32"/>
        </w:rPr>
        <w:lastRenderedPageBreak/>
        <w:t xml:space="preserve">助活动之外开展非独立核算经营活动发生的支出。 </w:t>
      </w:r>
    </w:p>
    <w:p w:rsidR="00082093" w:rsidRDefault="00297595">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082093" w:rsidRDefault="00297595">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B199E" w:rsidRDefault="00DB199E">
      <w:pPr>
        <w:ind w:firstLine="643"/>
        <w:jc w:val="left"/>
        <w:rPr>
          <w:rFonts w:ascii="仿宋" w:eastAsia="仿宋" w:hAnsi="仿宋" w:cs="仿宋"/>
          <w:sz w:val="32"/>
        </w:rPr>
      </w:pPr>
    </w:p>
    <w:tbl>
      <w:tblPr>
        <w:tblW w:w="14257" w:type="dxa"/>
        <w:tblInd w:w="-1800" w:type="dxa"/>
        <w:tblLook w:val="04A0"/>
      </w:tblPr>
      <w:tblGrid>
        <w:gridCol w:w="14257"/>
      </w:tblGrid>
      <w:tr w:rsidR="0080422C" w:rsidRPr="0080422C" w:rsidTr="0080422C">
        <w:trPr>
          <w:trHeight w:val="360"/>
        </w:trPr>
        <w:tc>
          <w:tcPr>
            <w:tcW w:w="14257" w:type="dxa"/>
            <w:tcBorders>
              <w:top w:val="nil"/>
              <w:left w:val="nil"/>
              <w:bottom w:val="nil"/>
              <w:right w:val="nil"/>
            </w:tcBorders>
            <w:shd w:val="clear" w:color="auto" w:fill="auto"/>
            <w:noWrap/>
            <w:vAlign w:val="center"/>
            <w:hideMark/>
          </w:tcPr>
          <w:p w:rsidR="0080422C" w:rsidRPr="0080422C" w:rsidRDefault="0080422C" w:rsidP="0080422C">
            <w:pPr>
              <w:widowControl/>
              <w:jc w:val="center"/>
              <w:rPr>
                <w:rFonts w:ascii="华文中宋" w:eastAsia="华文中宋" w:hAnsi="华文中宋" w:cs="宋体"/>
                <w:color w:val="000000"/>
                <w:kern w:val="0"/>
                <w:sz w:val="32"/>
                <w:szCs w:val="32"/>
              </w:rPr>
            </w:pPr>
          </w:p>
        </w:tc>
      </w:tr>
    </w:tbl>
    <w:p w:rsidR="00082093" w:rsidRDefault="00082093">
      <w:pPr>
        <w:ind w:firstLine="640"/>
        <w:jc w:val="left"/>
        <w:rPr>
          <w:rFonts w:ascii="仿宋" w:eastAsia="仿宋" w:hAnsi="仿宋" w:cs="仿宋"/>
          <w:sz w:val="32"/>
        </w:rPr>
      </w:pPr>
    </w:p>
    <w:sectPr w:rsidR="00082093" w:rsidSect="00082093">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4E9" w:rsidRDefault="003F74E9" w:rsidP="00082093">
      <w:r>
        <w:separator/>
      </w:r>
    </w:p>
  </w:endnote>
  <w:endnote w:type="continuationSeparator" w:id="1">
    <w:p w:rsidR="003F74E9" w:rsidRDefault="003F74E9" w:rsidP="00082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4E9" w:rsidRDefault="003F74E9" w:rsidP="00082093">
      <w:r>
        <w:separator/>
      </w:r>
    </w:p>
  </w:footnote>
  <w:footnote w:type="continuationSeparator" w:id="1">
    <w:p w:rsidR="003F74E9" w:rsidRDefault="003F74E9" w:rsidP="000820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55" w:rsidRDefault="00D07355">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7479B1"/>
    <w:multiLevelType w:val="multilevel"/>
    <w:tmpl w:val="D87479B1"/>
    <w:lvl w:ilvl="0">
      <w:start w:val="2"/>
      <w:numFmt w:val="chineseCounting"/>
      <w:lvlText w:val="(%1)"/>
      <w:lvlJc w:val="left"/>
      <w:pPr>
        <w:tabs>
          <w:tab w:val="left" w:pos="312"/>
        </w:tabs>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14A8EA63"/>
    <w:multiLevelType w:val="singleLevel"/>
    <w:tmpl w:val="14A8EA63"/>
    <w:lvl w:ilvl="0">
      <w:start w:val="1"/>
      <w:numFmt w:val="chineseCounting"/>
      <w:suff w:val="nothing"/>
      <w:lvlText w:val="%1、"/>
      <w:lvlJc w:val="left"/>
      <w:rPr>
        <w:rFonts w:hint="eastAsia"/>
      </w:rPr>
    </w:lvl>
  </w:abstractNum>
  <w:abstractNum w:abstractNumId="2">
    <w:nsid w:val="38548DC2"/>
    <w:multiLevelType w:val="singleLevel"/>
    <w:tmpl w:val="38548DC2"/>
    <w:lvl w:ilvl="0">
      <w:start w:val="2"/>
      <w:numFmt w:val="decimal"/>
      <w:suff w:val="nothing"/>
      <w:lvlText w:val="%1、"/>
      <w:lvlJc w:val="left"/>
    </w:lvl>
  </w:abstractNum>
  <w:abstractNum w:abstractNumId="3">
    <w:nsid w:val="48AC81E9"/>
    <w:multiLevelType w:val="singleLevel"/>
    <w:tmpl w:val="48AC81E9"/>
    <w:lvl w:ilvl="0">
      <w:start w:val="2"/>
      <w:numFmt w:val="decimal"/>
      <w:suff w:val="nothing"/>
      <w:lvlText w:val="（%1）"/>
      <w:lvlJc w:val="left"/>
    </w:lvl>
  </w:abstractNum>
  <w:abstractNum w:abstractNumId="4">
    <w:nsid w:val="7C1CDB50"/>
    <w:multiLevelType w:val="singleLevel"/>
    <w:tmpl w:val="7C1CDB50"/>
    <w:lvl w:ilvl="0">
      <w:start w:val="2"/>
      <w:numFmt w:val="chineseCounting"/>
      <w:suff w:val="space"/>
      <w:lvlText w:val="第%1部分"/>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33794"/>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361F25"/>
    <w:rsid w:val="00027A14"/>
    <w:rsid w:val="000446FD"/>
    <w:rsid w:val="00082093"/>
    <w:rsid w:val="000A2E0B"/>
    <w:rsid w:val="000E1DA1"/>
    <w:rsid w:val="0011267F"/>
    <w:rsid w:val="001352FB"/>
    <w:rsid w:val="00174329"/>
    <w:rsid w:val="00183ADD"/>
    <w:rsid w:val="00230085"/>
    <w:rsid w:val="00235A22"/>
    <w:rsid w:val="00243D9D"/>
    <w:rsid w:val="00265100"/>
    <w:rsid w:val="00297595"/>
    <w:rsid w:val="002A36C2"/>
    <w:rsid w:val="00355C3C"/>
    <w:rsid w:val="00361F25"/>
    <w:rsid w:val="003638A2"/>
    <w:rsid w:val="00390380"/>
    <w:rsid w:val="003A3753"/>
    <w:rsid w:val="003B69A5"/>
    <w:rsid w:val="003C6E80"/>
    <w:rsid w:val="003F74E9"/>
    <w:rsid w:val="004110DB"/>
    <w:rsid w:val="004606BE"/>
    <w:rsid w:val="004B2AF6"/>
    <w:rsid w:val="004C1283"/>
    <w:rsid w:val="004D5484"/>
    <w:rsid w:val="004E2F24"/>
    <w:rsid w:val="00510344"/>
    <w:rsid w:val="005260A5"/>
    <w:rsid w:val="00544259"/>
    <w:rsid w:val="00547CE7"/>
    <w:rsid w:val="00551EDF"/>
    <w:rsid w:val="00582244"/>
    <w:rsid w:val="005B5D0B"/>
    <w:rsid w:val="005E0579"/>
    <w:rsid w:val="00606623"/>
    <w:rsid w:val="0065030C"/>
    <w:rsid w:val="00693862"/>
    <w:rsid w:val="006A2B13"/>
    <w:rsid w:val="006A3D5F"/>
    <w:rsid w:val="0070699D"/>
    <w:rsid w:val="007221B1"/>
    <w:rsid w:val="00723D81"/>
    <w:rsid w:val="00732CB0"/>
    <w:rsid w:val="007653F3"/>
    <w:rsid w:val="00786A36"/>
    <w:rsid w:val="0080422C"/>
    <w:rsid w:val="00810A3E"/>
    <w:rsid w:val="0088362C"/>
    <w:rsid w:val="008C5394"/>
    <w:rsid w:val="008F546E"/>
    <w:rsid w:val="00916142"/>
    <w:rsid w:val="00920A3D"/>
    <w:rsid w:val="0096182A"/>
    <w:rsid w:val="00965073"/>
    <w:rsid w:val="00976BF7"/>
    <w:rsid w:val="009B4C5A"/>
    <w:rsid w:val="00A42E82"/>
    <w:rsid w:val="00A474A6"/>
    <w:rsid w:val="00A77126"/>
    <w:rsid w:val="00A94713"/>
    <w:rsid w:val="00AC0A26"/>
    <w:rsid w:val="00AF647D"/>
    <w:rsid w:val="00B27C51"/>
    <w:rsid w:val="00B40AB3"/>
    <w:rsid w:val="00B44575"/>
    <w:rsid w:val="00B603E7"/>
    <w:rsid w:val="00BA52AF"/>
    <w:rsid w:val="00BB1068"/>
    <w:rsid w:val="00BB18E2"/>
    <w:rsid w:val="00BD0975"/>
    <w:rsid w:val="00BD4C81"/>
    <w:rsid w:val="00C23B1B"/>
    <w:rsid w:val="00C44F18"/>
    <w:rsid w:val="00C51E24"/>
    <w:rsid w:val="00C70175"/>
    <w:rsid w:val="00CA65FA"/>
    <w:rsid w:val="00D07355"/>
    <w:rsid w:val="00D126D5"/>
    <w:rsid w:val="00D14BA6"/>
    <w:rsid w:val="00D21CDF"/>
    <w:rsid w:val="00D50AE4"/>
    <w:rsid w:val="00D549A6"/>
    <w:rsid w:val="00D77C29"/>
    <w:rsid w:val="00D818D0"/>
    <w:rsid w:val="00D83956"/>
    <w:rsid w:val="00DB199E"/>
    <w:rsid w:val="00DB6598"/>
    <w:rsid w:val="00DF6FA5"/>
    <w:rsid w:val="00E00483"/>
    <w:rsid w:val="00E0105E"/>
    <w:rsid w:val="00E07243"/>
    <w:rsid w:val="00E517E0"/>
    <w:rsid w:val="00EA504D"/>
    <w:rsid w:val="00EC2A23"/>
    <w:rsid w:val="00EC2AAC"/>
    <w:rsid w:val="00F13941"/>
    <w:rsid w:val="00F322AD"/>
    <w:rsid w:val="00F35C36"/>
    <w:rsid w:val="00F63CB8"/>
    <w:rsid w:val="00F82109"/>
    <w:rsid w:val="00F94200"/>
    <w:rsid w:val="00FB0B94"/>
    <w:rsid w:val="00FC2F66"/>
    <w:rsid w:val="037E18F2"/>
    <w:rsid w:val="0D2A4290"/>
    <w:rsid w:val="13EE18A4"/>
    <w:rsid w:val="163A6A0E"/>
    <w:rsid w:val="2D305CD1"/>
    <w:rsid w:val="4362719D"/>
    <w:rsid w:val="48866E5F"/>
    <w:rsid w:val="4ACC6E78"/>
    <w:rsid w:val="50166084"/>
    <w:rsid w:val="5BC4233F"/>
    <w:rsid w:val="720B4BC9"/>
    <w:rsid w:val="788848FF"/>
    <w:rsid w:val="7E7640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09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8209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82093"/>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082093"/>
    <w:rPr>
      <w:color w:val="0000FF" w:themeColor="hyperlink"/>
      <w:u w:val="single"/>
    </w:rPr>
  </w:style>
  <w:style w:type="character" w:customStyle="1" w:styleId="Char0">
    <w:name w:val="页眉 Char"/>
    <w:basedOn w:val="a0"/>
    <w:link w:val="a4"/>
    <w:uiPriority w:val="99"/>
    <w:semiHidden/>
    <w:qFormat/>
    <w:rsid w:val="00082093"/>
    <w:rPr>
      <w:sz w:val="18"/>
      <w:szCs w:val="18"/>
    </w:rPr>
  </w:style>
  <w:style w:type="character" w:customStyle="1" w:styleId="Char">
    <w:name w:val="页脚 Char"/>
    <w:basedOn w:val="a0"/>
    <w:link w:val="a3"/>
    <w:uiPriority w:val="99"/>
    <w:semiHidden/>
    <w:qFormat/>
    <w:rsid w:val="00082093"/>
    <w:rPr>
      <w:sz w:val="18"/>
      <w:szCs w:val="18"/>
    </w:rPr>
  </w:style>
  <w:style w:type="character" w:customStyle="1" w:styleId="font11">
    <w:name w:val="font11"/>
    <w:basedOn w:val="a0"/>
    <w:rsid w:val="00082093"/>
    <w:rPr>
      <w:rFonts w:ascii="Times New Roman" w:hAnsi="Times New Roman" w:cs="Times New Roman" w:hint="default"/>
      <w:color w:val="000000"/>
      <w:sz w:val="20"/>
      <w:szCs w:val="20"/>
      <w:u w:val="none"/>
    </w:rPr>
  </w:style>
  <w:style w:type="character" w:customStyle="1" w:styleId="font21">
    <w:name w:val="font21"/>
    <w:basedOn w:val="a0"/>
    <w:rsid w:val="00082093"/>
    <w:rPr>
      <w:rFonts w:ascii="宋体" w:eastAsia="宋体" w:hAnsi="宋体" w:cs="宋体" w:hint="eastAsia"/>
      <w:color w:val="000000"/>
      <w:sz w:val="20"/>
      <w:szCs w:val="20"/>
      <w:u w:val="none"/>
    </w:rPr>
  </w:style>
  <w:style w:type="paragraph" w:styleId="a6">
    <w:name w:val="Balloon Text"/>
    <w:basedOn w:val="a"/>
    <w:link w:val="Char1"/>
    <w:uiPriority w:val="99"/>
    <w:semiHidden/>
    <w:unhideWhenUsed/>
    <w:rsid w:val="00174329"/>
    <w:rPr>
      <w:sz w:val="18"/>
      <w:szCs w:val="18"/>
    </w:rPr>
  </w:style>
  <w:style w:type="character" w:customStyle="1" w:styleId="Char1">
    <w:name w:val="批注框文本 Char"/>
    <w:basedOn w:val="a0"/>
    <w:link w:val="a6"/>
    <w:uiPriority w:val="99"/>
    <w:semiHidden/>
    <w:rsid w:val="0017432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499775">
      <w:bodyDiv w:val="1"/>
      <w:marLeft w:val="0"/>
      <w:marRight w:val="0"/>
      <w:marTop w:val="0"/>
      <w:marBottom w:val="0"/>
      <w:divBdr>
        <w:top w:val="none" w:sz="0" w:space="0" w:color="auto"/>
        <w:left w:val="none" w:sz="0" w:space="0" w:color="auto"/>
        <w:bottom w:val="none" w:sz="0" w:space="0" w:color="auto"/>
        <w:right w:val="none" w:sz="0" w:space="0" w:color="auto"/>
      </w:divBdr>
    </w:div>
    <w:div w:id="197939326">
      <w:bodyDiv w:val="1"/>
      <w:marLeft w:val="0"/>
      <w:marRight w:val="0"/>
      <w:marTop w:val="0"/>
      <w:marBottom w:val="0"/>
      <w:divBdr>
        <w:top w:val="none" w:sz="0" w:space="0" w:color="auto"/>
        <w:left w:val="none" w:sz="0" w:space="0" w:color="auto"/>
        <w:bottom w:val="none" w:sz="0" w:space="0" w:color="auto"/>
        <w:right w:val="none" w:sz="0" w:space="0" w:color="auto"/>
      </w:divBdr>
    </w:div>
    <w:div w:id="364251326">
      <w:bodyDiv w:val="1"/>
      <w:marLeft w:val="0"/>
      <w:marRight w:val="0"/>
      <w:marTop w:val="0"/>
      <w:marBottom w:val="0"/>
      <w:divBdr>
        <w:top w:val="none" w:sz="0" w:space="0" w:color="auto"/>
        <w:left w:val="none" w:sz="0" w:space="0" w:color="auto"/>
        <w:bottom w:val="none" w:sz="0" w:space="0" w:color="auto"/>
        <w:right w:val="none" w:sz="0" w:space="0" w:color="auto"/>
      </w:divBdr>
    </w:div>
    <w:div w:id="365446645">
      <w:bodyDiv w:val="1"/>
      <w:marLeft w:val="0"/>
      <w:marRight w:val="0"/>
      <w:marTop w:val="0"/>
      <w:marBottom w:val="0"/>
      <w:divBdr>
        <w:top w:val="none" w:sz="0" w:space="0" w:color="auto"/>
        <w:left w:val="none" w:sz="0" w:space="0" w:color="auto"/>
        <w:bottom w:val="none" w:sz="0" w:space="0" w:color="auto"/>
        <w:right w:val="none" w:sz="0" w:space="0" w:color="auto"/>
      </w:divBdr>
    </w:div>
    <w:div w:id="393938017">
      <w:bodyDiv w:val="1"/>
      <w:marLeft w:val="0"/>
      <w:marRight w:val="0"/>
      <w:marTop w:val="0"/>
      <w:marBottom w:val="0"/>
      <w:divBdr>
        <w:top w:val="none" w:sz="0" w:space="0" w:color="auto"/>
        <w:left w:val="none" w:sz="0" w:space="0" w:color="auto"/>
        <w:bottom w:val="none" w:sz="0" w:space="0" w:color="auto"/>
        <w:right w:val="none" w:sz="0" w:space="0" w:color="auto"/>
      </w:divBdr>
    </w:div>
    <w:div w:id="486285826">
      <w:bodyDiv w:val="1"/>
      <w:marLeft w:val="0"/>
      <w:marRight w:val="0"/>
      <w:marTop w:val="0"/>
      <w:marBottom w:val="0"/>
      <w:divBdr>
        <w:top w:val="none" w:sz="0" w:space="0" w:color="auto"/>
        <w:left w:val="none" w:sz="0" w:space="0" w:color="auto"/>
        <w:bottom w:val="none" w:sz="0" w:space="0" w:color="auto"/>
        <w:right w:val="none" w:sz="0" w:space="0" w:color="auto"/>
      </w:divBdr>
    </w:div>
    <w:div w:id="534469039">
      <w:bodyDiv w:val="1"/>
      <w:marLeft w:val="0"/>
      <w:marRight w:val="0"/>
      <w:marTop w:val="0"/>
      <w:marBottom w:val="0"/>
      <w:divBdr>
        <w:top w:val="none" w:sz="0" w:space="0" w:color="auto"/>
        <w:left w:val="none" w:sz="0" w:space="0" w:color="auto"/>
        <w:bottom w:val="none" w:sz="0" w:space="0" w:color="auto"/>
        <w:right w:val="none" w:sz="0" w:space="0" w:color="auto"/>
      </w:divBdr>
    </w:div>
    <w:div w:id="838081855">
      <w:bodyDiv w:val="1"/>
      <w:marLeft w:val="0"/>
      <w:marRight w:val="0"/>
      <w:marTop w:val="0"/>
      <w:marBottom w:val="0"/>
      <w:divBdr>
        <w:top w:val="none" w:sz="0" w:space="0" w:color="auto"/>
        <w:left w:val="none" w:sz="0" w:space="0" w:color="auto"/>
        <w:bottom w:val="none" w:sz="0" w:space="0" w:color="auto"/>
        <w:right w:val="none" w:sz="0" w:space="0" w:color="auto"/>
      </w:divBdr>
    </w:div>
    <w:div w:id="1056586323">
      <w:bodyDiv w:val="1"/>
      <w:marLeft w:val="0"/>
      <w:marRight w:val="0"/>
      <w:marTop w:val="0"/>
      <w:marBottom w:val="0"/>
      <w:divBdr>
        <w:top w:val="none" w:sz="0" w:space="0" w:color="auto"/>
        <w:left w:val="none" w:sz="0" w:space="0" w:color="auto"/>
        <w:bottom w:val="none" w:sz="0" w:space="0" w:color="auto"/>
        <w:right w:val="none" w:sz="0" w:space="0" w:color="auto"/>
      </w:divBdr>
    </w:div>
    <w:div w:id="1279751230">
      <w:bodyDiv w:val="1"/>
      <w:marLeft w:val="0"/>
      <w:marRight w:val="0"/>
      <w:marTop w:val="0"/>
      <w:marBottom w:val="0"/>
      <w:divBdr>
        <w:top w:val="none" w:sz="0" w:space="0" w:color="auto"/>
        <w:left w:val="none" w:sz="0" w:space="0" w:color="auto"/>
        <w:bottom w:val="none" w:sz="0" w:space="0" w:color="auto"/>
        <w:right w:val="none" w:sz="0" w:space="0" w:color="auto"/>
      </w:divBdr>
    </w:div>
    <w:div w:id="1435783099">
      <w:bodyDiv w:val="1"/>
      <w:marLeft w:val="0"/>
      <w:marRight w:val="0"/>
      <w:marTop w:val="0"/>
      <w:marBottom w:val="0"/>
      <w:divBdr>
        <w:top w:val="none" w:sz="0" w:space="0" w:color="auto"/>
        <w:left w:val="none" w:sz="0" w:space="0" w:color="auto"/>
        <w:bottom w:val="none" w:sz="0" w:space="0" w:color="auto"/>
        <w:right w:val="none" w:sz="0" w:space="0" w:color="auto"/>
      </w:divBdr>
    </w:div>
    <w:div w:id="1716394636">
      <w:bodyDiv w:val="1"/>
      <w:marLeft w:val="0"/>
      <w:marRight w:val="0"/>
      <w:marTop w:val="0"/>
      <w:marBottom w:val="0"/>
      <w:divBdr>
        <w:top w:val="none" w:sz="0" w:space="0" w:color="auto"/>
        <w:left w:val="none" w:sz="0" w:space="0" w:color="auto"/>
        <w:bottom w:val="none" w:sz="0" w:space="0" w:color="auto"/>
        <w:right w:val="none" w:sz="0" w:space="0" w:color="auto"/>
      </w:divBdr>
    </w:div>
    <w:div w:id="1761366995">
      <w:bodyDiv w:val="1"/>
      <w:marLeft w:val="0"/>
      <w:marRight w:val="0"/>
      <w:marTop w:val="0"/>
      <w:marBottom w:val="0"/>
      <w:divBdr>
        <w:top w:val="none" w:sz="0" w:space="0" w:color="auto"/>
        <w:left w:val="none" w:sz="0" w:space="0" w:color="auto"/>
        <w:bottom w:val="none" w:sz="0" w:space="0" w:color="auto"/>
        <w:right w:val="none" w:sz="0" w:space="0" w:color="auto"/>
      </w:divBdr>
    </w:div>
    <w:div w:id="1772123071">
      <w:bodyDiv w:val="1"/>
      <w:marLeft w:val="0"/>
      <w:marRight w:val="0"/>
      <w:marTop w:val="0"/>
      <w:marBottom w:val="0"/>
      <w:divBdr>
        <w:top w:val="none" w:sz="0" w:space="0" w:color="auto"/>
        <w:left w:val="none" w:sz="0" w:space="0" w:color="auto"/>
        <w:bottom w:val="none" w:sz="0" w:space="0" w:color="auto"/>
        <w:right w:val="none" w:sz="0" w:space="0" w:color="auto"/>
      </w:divBdr>
    </w:div>
    <w:div w:id="1803840492">
      <w:bodyDiv w:val="1"/>
      <w:marLeft w:val="0"/>
      <w:marRight w:val="0"/>
      <w:marTop w:val="0"/>
      <w:marBottom w:val="0"/>
      <w:divBdr>
        <w:top w:val="none" w:sz="0" w:space="0" w:color="auto"/>
        <w:left w:val="none" w:sz="0" w:space="0" w:color="auto"/>
        <w:bottom w:val="none" w:sz="0" w:space="0" w:color="auto"/>
        <w:right w:val="none" w:sz="0" w:space="0" w:color="auto"/>
      </w:divBdr>
    </w:div>
    <w:div w:id="1862820860">
      <w:bodyDiv w:val="1"/>
      <w:marLeft w:val="0"/>
      <w:marRight w:val="0"/>
      <w:marTop w:val="0"/>
      <w:marBottom w:val="0"/>
      <w:divBdr>
        <w:top w:val="none" w:sz="0" w:space="0" w:color="auto"/>
        <w:left w:val="none" w:sz="0" w:space="0" w:color="auto"/>
        <w:bottom w:val="none" w:sz="0" w:space="0" w:color="auto"/>
        <w:right w:val="none" w:sz="0" w:space="0" w:color="auto"/>
      </w:divBdr>
    </w:div>
    <w:div w:id="1917661959">
      <w:bodyDiv w:val="1"/>
      <w:marLeft w:val="0"/>
      <w:marRight w:val="0"/>
      <w:marTop w:val="0"/>
      <w:marBottom w:val="0"/>
      <w:divBdr>
        <w:top w:val="none" w:sz="0" w:space="0" w:color="auto"/>
        <w:left w:val="none" w:sz="0" w:space="0" w:color="auto"/>
        <w:bottom w:val="none" w:sz="0" w:space="0" w:color="auto"/>
        <w:right w:val="none" w:sz="0" w:space="0" w:color="auto"/>
      </w:divBdr>
    </w:div>
    <w:div w:id="1942957292">
      <w:bodyDiv w:val="1"/>
      <w:marLeft w:val="0"/>
      <w:marRight w:val="0"/>
      <w:marTop w:val="0"/>
      <w:marBottom w:val="0"/>
      <w:divBdr>
        <w:top w:val="none" w:sz="0" w:space="0" w:color="auto"/>
        <w:left w:val="none" w:sz="0" w:space="0" w:color="auto"/>
        <w:bottom w:val="none" w:sz="0" w:space="0" w:color="auto"/>
        <w:right w:val="none" w:sz="0" w:space="0" w:color="auto"/>
      </w:divBdr>
    </w:div>
    <w:div w:id="2123064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21</Pages>
  <Words>1070</Words>
  <Characters>6104</Characters>
  <Application>Microsoft Office Word</Application>
  <DocSecurity>0</DocSecurity>
  <Lines>50</Lines>
  <Paragraphs>14</Paragraphs>
  <ScaleCrop>false</ScaleCrop>
  <Company>微软用户</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张三</cp:lastModifiedBy>
  <cp:revision>9</cp:revision>
  <dcterms:created xsi:type="dcterms:W3CDTF">2020-12-02T08:35:00Z</dcterms:created>
  <dcterms:modified xsi:type="dcterms:W3CDTF">2021-06-04T07:08:00Z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