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 w:ascii="仿宋_GB2312" w:eastAsia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沅江市水利局2021年部门预算公开</w:t>
      </w:r>
    </w:p>
    <w:p>
      <w:pPr>
        <w:jc w:val="center"/>
        <w:rPr>
          <w:rFonts w:hint="eastAsia" w:ascii="仿宋_GB2312" w:eastAsia="仿宋_GB2312"/>
          <w:b/>
          <w:bCs/>
          <w:sz w:val="44"/>
          <w:szCs w:val="44"/>
        </w:rPr>
      </w:pPr>
    </w:p>
    <w:p>
      <w:pPr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目  录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pStyle w:val="8"/>
        <w:numPr>
          <w:ilvl w:val="0"/>
          <w:numId w:val="0"/>
        </w:numPr>
        <w:spacing w:line="560" w:lineRule="exact"/>
        <w:ind w:leftChars="0"/>
        <w:rPr>
          <w:rFonts w:hint="eastAsia" w:ascii="仿宋_GB2312" w:hAnsi="Calibri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第一部分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sz w:val="32"/>
          <w:szCs w:val="32"/>
        </w:rPr>
        <w:t>部门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预</w:t>
      </w:r>
      <w:r>
        <w:rPr>
          <w:rFonts w:hint="eastAsia" w:ascii="仿宋_GB2312" w:eastAsia="仿宋_GB2312"/>
          <w:b/>
          <w:bCs/>
          <w:sz w:val="32"/>
          <w:szCs w:val="32"/>
        </w:rPr>
        <w:t>算公开说明</w:t>
      </w:r>
    </w:p>
    <w:p>
      <w:pPr>
        <w:pStyle w:val="8"/>
        <w:numPr>
          <w:ilvl w:val="0"/>
          <w:numId w:val="0"/>
        </w:numPr>
        <w:spacing w:line="560" w:lineRule="exact"/>
        <w:ind w:leftChars="0"/>
        <w:rPr>
          <w:rFonts w:hint="default" w:ascii="仿宋_GB2312" w:hAnsi="Calibri" w:eastAsia="仿宋_GB2312" w:cs="Times New Roman"/>
          <w:b/>
          <w:bCs/>
          <w:sz w:val="32"/>
          <w:szCs w:val="32"/>
          <w:lang w:val="en-US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第二部分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2021年部门预算表</w:t>
      </w:r>
    </w:p>
    <w:p>
      <w:pPr>
        <w:pStyle w:val="8"/>
        <w:numPr>
          <w:ilvl w:val="0"/>
          <w:numId w:val="0"/>
        </w:numPr>
        <w:spacing w:line="560" w:lineRule="exact"/>
        <w:ind w:leftChars="0" w:firstLine="320" w:firstLineChars="1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1、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部门收支总</w:t>
      </w:r>
      <w:r>
        <w:rPr>
          <w:rFonts w:hint="eastAsia" w:ascii="仿宋_GB2312" w:hAnsi="Calibri" w:eastAsia="仿宋_GB2312" w:cs="Times New Roman"/>
          <w:sz w:val="32"/>
          <w:szCs w:val="32"/>
        </w:rPr>
        <w:t>表</w:t>
      </w:r>
    </w:p>
    <w:p>
      <w:pPr>
        <w:pStyle w:val="8"/>
        <w:numPr>
          <w:ilvl w:val="0"/>
          <w:numId w:val="0"/>
        </w:numPr>
        <w:spacing w:line="560" w:lineRule="exact"/>
        <w:ind w:leftChars="0" w:firstLine="320" w:firstLineChars="1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部门收入总</w:t>
      </w:r>
      <w:r>
        <w:rPr>
          <w:rFonts w:hint="eastAsia" w:ascii="仿宋_GB2312" w:hAnsi="Calibri" w:eastAsia="仿宋_GB2312" w:cs="Times New Roman"/>
          <w:sz w:val="32"/>
          <w:szCs w:val="32"/>
        </w:rPr>
        <w:t>表</w:t>
      </w:r>
    </w:p>
    <w:p>
      <w:pPr>
        <w:spacing w:line="560" w:lineRule="exact"/>
        <w:ind w:firstLine="320" w:firstLineChars="1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部门</w:t>
      </w:r>
      <w:r>
        <w:rPr>
          <w:rFonts w:hint="eastAsia" w:ascii="仿宋_GB2312" w:hAnsi="Calibri" w:eastAsia="仿宋_GB2312" w:cs="Times New Roman"/>
          <w:sz w:val="32"/>
          <w:szCs w:val="32"/>
        </w:rPr>
        <w:t>支出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总</w:t>
      </w:r>
      <w:r>
        <w:rPr>
          <w:rFonts w:hint="eastAsia" w:ascii="仿宋_GB2312" w:hAnsi="Calibri" w:eastAsia="仿宋_GB2312" w:cs="Times New Roman"/>
          <w:sz w:val="32"/>
          <w:szCs w:val="32"/>
        </w:rPr>
        <w:t>表</w:t>
      </w:r>
    </w:p>
    <w:p>
      <w:pPr>
        <w:spacing w:line="560" w:lineRule="exact"/>
        <w:ind w:firstLine="320" w:firstLineChars="100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部门</w:t>
      </w:r>
      <w:r>
        <w:rPr>
          <w:rFonts w:hint="eastAsia" w:ascii="仿宋_GB2312" w:hAnsi="Calibri" w:eastAsia="仿宋_GB2312" w:cs="Times New Roman"/>
          <w:sz w:val="32"/>
          <w:szCs w:val="32"/>
        </w:rPr>
        <w:t>支出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总</w:t>
      </w:r>
      <w:r>
        <w:rPr>
          <w:rFonts w:hint="eastAsia" w:ascii="仿宋_GB2312" w:hAnsi="Calibri" w:eastAsia="仿宋_GB2312" w:cs="Times New Roman"/>
          <w:sz w:val="32"/>
          <w:szCs w:val="32"/>
        </w:rPr>
        <w:t>表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（按部门经济分类）</w:t>
      </w:r>
    </w:p>
    <w:p>
      <w:pPr>
        <w:spacing w:line="560" w:lineRule="exact"/>
        <w:ind w:firstLine="320" w:firstLineChars="100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部门</w:t>
      </w:r>
      <w:r>
        <w:rPr>
          <w:rFonts w:hint="eastAsia" w:ascii="仿宋_GB2312" w:hAnsi="Calibri" w:eastAsia="仿宋_GB2312" w:cs="Times New Roman"/>
          <w:sz w:val="32"/>
          <w:szCs w:val="32"/>
        </w:rPr>
        <w:t>支出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总</w:t>
      </w:r>
      <w:r>
        <w:rPr>
          <w:rFonts w:hint="eastAsia" w:ascii="仿宋_GB2312" w:hAnsi="Calibri" w:eastAsia="仿宋_GB2312" w:cs="Times New Roman"/>
          <w:sz w:val="32"/>
          <w:szCs w:val="32"/>
        </w:rPr>
        <w:t>表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（按政府预算经济分类）</w:t>
      </w:r>
    </w:p>
    <w:p>
      <w:pPr>
        <w:spacing w:line="560" w:lineRule="exact"/>
        <w:ind w:firstLine="320" w:firstLine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基本支出预算明细表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--工资福利支出(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按部门预算经济分类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</w:p>
    <w:p>
      <w:pPr>
        <w:spacing w:line="560" w:lineRule="exact"/>
        <w:ind w:firstLine="320" w:firstLine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7、</w:t>
      </w:r>
      <w:r>
        <w:rPr>
          <w:rFonts w:hint="eastAsia" w:ascii="仿宋_GB2312" w:eastAsia="仿宋_GB2312"/>
          <w:sz w:val="32"/>
          <w:szCs w:val="32"/>
          <w:lang w:eastAsia="zh-CN"/>
        </w:rPr>
        <w:t>基本支出预算明细表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--工资福利支出(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按政府预算经济分类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</w:p>
    <w:p>
      <w:pPr>
        <w:spacing w:line="560" w:lineRule="exact"/>
        <w:ind w:firstLine="320" w:firstLine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基本支出预算明细表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--商品和服务支出(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按部门预算经济分类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</w:p>
    <w:p>
      <w:pPr>
        <w:spacing w:line="560" w:lineRule="exact"/>
        <w:ind w:firstLine="320" w:firstLine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9、</w:t>
      </w:r>
      <w:r>
        <w:rPr>
          <w:rFonts w:hint="eastAsia" w:ascii="仿宋_GB2312" w:eastAsia="仿宋_GB2312"/>
          <w:sz w:val="32"/>
          <w:szCs w:val="32"/>
          <w:lang w:eastAsia="zh-CN"/>
        </w:rPr>
        <w:t>基本支出预算明细表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--商品和服务支出(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按政府预算经济分类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</w:p>
    <w:p>
      <w:pPr>
        <w:spacing w:line="560" w:lineRule="exact"/>
        <w:ind w:firstLine="320" w:firstLine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基本支出预算明细表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--对个人和家庭补助支出(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按部门预算经济分类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</w:p>
    <w:p>
      <w:pPr>
        <w:spacing w:line="560" w:lineRule="exact"/>
        <w:ind w:firstLine="320" w:firstLineChars="1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11、</w:t>
      </w:r>
      <w:r>
        <w:rPr>
          <w:rFonts w:hint="eastAsia" w:ascii="仿宋_GB2312" w:eastAsia="仿宋_GB2312"/>
          <w:sz w:val="32"/>
          <w:szCs w:val="32"/>
          <w:lang w:eastAsia="zh-CN"/>
        </w:rPr>
        <w:t>基本支出预算明细表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--对个人和家庭补助支出(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按政府预算经济分类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</w:p>
    <w:p>
      <w:pPr>
        <w:spacing w:line="560" w:lineRule="exact"/>
        <w:ind w:firstLine="320" w:firstLineChars="100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财政拨款收支总表</w:t>
      </w:r>
    </w:p>
    <w:p>
      <w:pPr>
        <w:spacing w:line="560" w:lineRule="exact"/>
        <w:ind w:firstLine="320" w:firstLineChars="100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13、一般公共预算支出情况表</w:t>
      </w:r>
    </w:p>
    <w:p>
      <w:pPr>
        <w:spacing w:line="560" w:lineRule="exact"/>
        <w:ind w:firstLine="320" w:firstLineChars="100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14、一般公共预算基本支出情况表</w:t>
      </w:r>
    </w:p>
    <w:p>
      <w:pPr>
        <w:spacing w:line="560" w:lineRule="exact"/>
        <w:ind w:firstLine="320" w:firstLine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15、一般公共预算基本支出预算明细表-工资福利支出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按部门预算经济分类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</w:p>
    <w:p>
      <w:pPr>
        <w:spacing w:line="560" w:lineRule="exact"/>
        <w:ind w:firstLine="320" w:firstLine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16、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一般公共预算基本支出预算明细表-工资福利支出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按政府预算经济分类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</w:p>
    <w:p>
      <w:pPr>
        <w:spacing w:line="560" w:lineRule="exact"/>
        <w:ind w:firstLine="320" w:firstLine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17、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一般公共预算基本支出预算明细表-商品和服务支出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按部门预算经济分类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</w:p>
    <w:p>
      <w:pPr>
        <w:spacing w:line="560" w:lineRule="exact"/>
        <w:ind w:firstLine="320" w:firstLine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18、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一般公共预算基本支出预算明细表-商品和服务支出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按政府预算经济分类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</w:p>
    <w:p>
      <w:pPr>
        <w:spacing w:line="560" w:lineRule="exact"/>
        <w:ind w:firstLine="320" w:firstLine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19、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一般公共预算基本支出预算明细表-商品和服务支出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按部门预算经济分类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</w:p>
    <w:p>
      <w:pPr>
        <w:spacing w:line="560" w:lineRule="exact"/>
        <w:ind w:firstLine="320" w:firstLine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20、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一般公共预算基本支出预算明细表-商品和服务支出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按政府预算经济分类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</w:p>
    <w:p>
      <w:pPr>
        <w:spacing w:line="560" w:lineRule="exact"/>
        <w:ind w:firstLine="320" w:firstLine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21、政府性基金预算支出情况表(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按部门预算经济分类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</w:p>
    <w:p>
      <w:pPr>
        <w:spacing w:line="560" w:lineRule="exact"/>
        <w:ind w:firstLine="320" w:firstLine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22、政府性基金预算支出情况表(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按政府预算经济分类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</w:p>
    <w:p>
      <w:pPr>
        <w:spacing w:line="560" w:lineRule="exact"/>
        <w:ind w:firstLine="320" w:firstLine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23、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纳入专户管理的非税收入拨款预算支出情况表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按部门预算经济分类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</w:p>
    <w:p>
      <w:pPr>
        <w:spacing w:line="560" w:lineRule="exact"/>
        <w:ind w:firstLine="320" w:firstLineChars="1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24、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纳入专户管理的非税收入拨款预算支出情况表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按政府预算经济分类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25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、经费拨款预算支出情况表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按部门预算经济分类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26、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经费拨款预算支出情况表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按政府预算经济分类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27、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专项资金预算汇总表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28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、一般公共预算“三公经费”预算表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29、单位项目支出预算绩效目标申报表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30、部门整体支出预算绩效目标申报表</w:t>
      </w:r>
    </w:p>
    <w:p/>
    <w:p/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第一部分</w:t>
      </w:r>
    </w:p>
    <w:p>
      <w:pPr>
        <w:widowControl/>
        <w:shd w:val="clear" w:color="auto" w:fill="FFFFFF"/>
        <w:spacing w:before="100" w:after="100" w:line="404" w:lineRule="atLeast"/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沅江市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水利局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系统</w:t>
      </w:r>
    </w:p>
    <w:p>
      <w:pPr>
        <w:widowControl/>
        <w:shd w:val="clear" w:color="auto" w:fill="FFFFFF"/>
        <w:spacing w:before="100" w:after="100" w:line="404" w:lineRule="atLeas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Arial" w:hAnsi="Arial" w:cs="Arial"/>
          <w:b/>
          <w:bCs/>
          <w:color w:val="000000"/>
          <w:kern w:val="0"/>
          <w:sz w:val="36"/>
          <w:szCs w:val="36"/>
          <w:lang w:eastAsia="zh-CN"/>
        </w:rPr>
        <w:t>2021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年部门预算说明</w:t>
      </w:r>
      <w:r>
        <w:rPr>
          <w:rFonts w:hint="eastAsia" w:ascii="宋体" w:hAnsi="宋体" w:cs="宋体"/>
          <w:color w:val="000000"/>
          <w:kern w:val="0"/>
          <w:sz w:val="24"/>
        </w:rPr>
        <w:t>　　</w:t>
      </w:r>
    </w:p>
    <w:p>
      <w:pPr>
        <w:widowControl/>
        <w:shd w:val="clear" w:color="auto" w:fill="FFFFFF"/>
        <w:spacing w:before="100" w:after="100" w:line="560" w:lineRule="atLeast"/>
        <w:ind w:firstLine="480" w:firstLineChars="15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before="100" w:after="100" w:line="560" w:lineRule="atLeast"/>
        <w:ind w:firstLine="480" w:firstLineChars="15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根据湖南省财政厅部门预算公开的相关要求，现将沅江市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水利局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系统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2021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年部门预算编制说明如下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：</w:t>
      </w:r>
    </w:p>
    <w:p>
      <w:pPr>
        <w:widowControl/>
        <w:numPr>
          <w:ilvl w:val="0"/>
          <w:numId w:val="1"/>
        </w:numPr>
        <w:shd w:val="clear" w:color="auto" w:fill="FFFFFF"/>
        <w:spacing w:before="100" w:after="100" w:line="560" w:lineRule="atLeast"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工作职责</w:t>
      </w:r>
    </w:p>
    <w:p>
      <w:pPr>
        <w:widowControl/>
        <w:spacing w:line="520" w:lineRule="atLeast"/>
        <w:ind w:firstLine="42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（一）负责指导和审核本系统和机关编制年度财政综合预算及决算，并监督检查各单位收支执行情况；</w:t>
      </w:r>
    </w:p>
    <w:p>
      <w:pPr>
        <w:widowControl/>
        <w:spacing w:line="520" w:lineRule="atLeast"/>
        <w:ind w:firstLine="42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（二）负责审核本系统和机关用款指标和计划，及时拨付资金；</w:t>
      </w:r>
    </w:p>
    <w:p>
      <w:pPr>
        <w:widowControl/>
        <w:spacing w:line="520" w:lineRule="atLeast"/>
        <w:ind w:firstLine="42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（三）指导和监督本系统和机关会计核算业务，审核乡镇收支原始凭证和会计报表；</w:t>
      </w:r>
    </w:p>
    <w:p>
      <w:pPr>
        <w:widowControl/>
        <w:spacing w:line="520" w:lineRule="atLeast"/>
        <w:ind w:firstLine="42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（四）负责全市本系统和机关财务管理工作的考核评比；</w:t>
      </w:r>
    </w:p>
    <w:p>
      <w:pPr>
        <w:widowControl/>
        <w:shd w:val="clear" w:color="auto" w:fill="FFFFFF"/>
        <w:spacing w:before="100" w:after="100" w:line="560" w:lineRule="atLeast"/>
        <w:ind w:firstLine="472" w:firstLineChars="147"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after="100" w:line="560" w:lineRule="atLeast"/>
        <w:ind w:firstLine="472" w:firstLineChars="147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二、部门预算单位构成</w:t>
      </w:r>
      <w:r>
        <w:rPr>
          <w:rFonts w:hint="eastAsia" w:ascii="宋体" w:hAnsi="宋体" w:eastAsia="仿宋" w:cs="宋体"/>
          <w:b/>
          <w:bCs/>
          <w:color w:val="000000"/>
          <w:kern w:val="0"/>
          <w:sz w:val="32"/>
          <w:szCs w:val="32"/>
        </w:rPr>
        <w:t> </w:t>
      </w:r>
    </w:p>
    <w:p>
      <w:pPr>
        <w:widowControl/>
        <w:spacing w:line="520" w:lineRule="atLeast"/>
        <w:ind w:firstLine="420"/>
        <w:jc w:val="left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根据编委核定，我局内设股室</w:t>
      </w:r>
      <w:r>
        <w:rPr>
          <w:rFonts w:hint="eastAsia" w:ascii="宋体" w:hAnsi="宋体" w:eastAsia="仿宋" w:cs="宋体"/>
          <w:color w:val="000000"/>
          <w:kern w:val="0"/>
          <w:sz w:val="32"/>
          <w:szCs w:val="32"/>
          <w:u w:val="single"/>
        </w:rPr>
        <w:t> </w:t>
      </w:r>
      <w:r>
        <w:rPr>
          <w:rFonts w:hint="eastAsia" w:ascii="宋体" w:hAnsi="宋体" w:eastAsia="仿宋" w:cs="宋体"/>
          <w:color w:val="000000"/>
          <w:kern w:val="0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 w:eastAsia="仿宋" w:cs="宋体"/>
          <w:color w:val="000000"/>
          <w:kern w:val="0"/>
          <w:sz w:val="32"/>
          <w:szCs w:val="32"/>
          <w:u w:val="single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个，所属事业单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位</w:t>
      </w:r>
      <w:r>
        <w:rPr>
          <w:rFonts w:hint="eastAsia" w:ascii="宋体" w:hAnsi="宋体" w:eastAsia="仿宋" w:cs="宋体"/>
          <w:color w:val="auto"/>
          <w:kern w:val="0"/>
          <w:sz w:val="32"/>
          <w:szCs w:val="32"/>
          <w:u w:val="single"/>
        </w:rPr>
        <w:t> 1</w:t>
      </w:r>
      <w:r>
        <w:rPr>
          <w:rFonts w:hint="eastAsia" w:ascii="宋体" w:hAnsi="宋体" w:eastAsia="仿宋" w:cs="宋体"/>
          <w:color w:val="auto"/>
          <w:kern w:val="0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 w:eastAsia="仿宋" w:cs="宋体"/>
          <w:color w:val="auto"/>
          <w:kern w:val="0"/>
          <w:sz w:val="32"/>
          <w:szCs w:val="32"/>
          <w:u w:val="single"/>
        </w:rPr>
        <w:t> 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个，企业单位</w:t>
      </w:r>
      <w:r>
        <w:rPr>
          <w:rFonts w:hint="eastAsia" w:ascii="宋体" w:hAnsi="宋体" w:eastAsia="仿宋" w:cs="宋体"/>
          <w:color w:val="auto"/>
          <w:kern w:val="0"/>
          <w:sz w:val="32"/>
          <w:szCs w:val="32"/>
          <w:u w:val="single"/>
        </w:rPr>
        <w:t> </w:t>
      </w:r>
      <w:r>
        <w:rPr>
          <w:rFonts w:hint="eastAsia" w:ascii="宋体" w:hAnsi="宋体" w:eastAsia="仿宋" w:cs="宋体"/>
          <w:color w:val="auto"/>
          <w:kern w:val="0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个，除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个企业单位外其余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个单位全部纳入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2021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年部门预算编制范围。</w:t>
      </w:r>
      <w:r>
        <w:rPr>
          <w:rFonts w:hint="eastAsia" w:ascii="宋体" w:hAnsi="宋体" w:eastAsia="仿宋" w:cs="宋体"/>
          <w:color w:val="auto"/>
          <w:kern w:val="0"/>
          <w:sz w:val="32"/>
          <w:szCs w:val="32"/>
        </w:rPr>
        <w:t> </w:t>
      </w:r>
    </w:p>
    <w:p>
      <w:pPr>
        <w:widowControl/>
        <w:numPr>
          <w:ilvl w:val="0"/>
          <w:numId w:val="0"/>
        </w:numPr>
        <w:spacing w:line="520" w:lineRule="atLeast"/>
        <w:ind w:firstLine="643" w:firstLineChars="200"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部门预算人员构成</w:t>
      </w:r>
    </w:p>
    <w:p>
      <w:pPr>
        <w:widowControl/>
        <w:numPr>
          <w:ilvl w:val="0"/>
          <w:numId w:val="0"/>
        </w:numPr>
        <w:spacing w:line="520" w:lineRule="atLeast"/>
        <w:ind w:firstLine="640" w:firstLineChars="200"/>
        <w:jc w:val="left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2021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年1月（预算编制时间），我局纳入部门预算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  <w:t>编制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  <w:lang w:val="en-US" w:eastAsia="zh-CN"/>
        </w:rPr>
        <w:t>1337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  <w:t>人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  <w:lang w:val="en-US" w:eastAsia="zh-CN"/>
        </w:rPr>
        <w:t>(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  <w:t>其中：实有在职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  <w:lang w:val="en-US" w:eastAsia="zh-CN"/>
        </w:rPr>
        <w:t>437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  <w:t>人，离退休人员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  <w:lang w:val="en-US" w:eastAsia="zh-CN"/>
        </w:rPr>
        <w:t>900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  <w:t>人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  <w:lang w:val="en-US" w:eastAsia="zh-CN"/>
        </w:rPr>
        <w:t>)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  <w:t xml:space="preserve"> ，自收自支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  <w:lang w:val="en-US" w:eastAsia="zh-CN"/>
        </w:rPr>
        <w:t>857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  <w:t>人，遗属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  <w:lang w:val="en-US" w:eastAsia="zh-CN"/>
        </w:rPr>
        <w:t>171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  <w:t>人。</w:t>
      </w:r>
    </w:p>
    <w:p>
      <w:pPr>
        <w:widowControl/>
        <w:numPr>
          <w:ilvl w:val="0"/>
          <w:numId w:val="0"/>
        </w:numPr>
        <w:spacing w:line="520" w:lineRule="atLeast"/>
        <w:ind w:left="480" w:leftChars="0"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after="100" w:line="560" w:lineRule="atLeast"/>
        <w:ind w:firstLine="472" w:firstLineChars="147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四、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2021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年收支预算</w:t>
      </w:r>
    </w:p>
    <w:p>
      <w:pPr>
        <w:widowControl/>
        <w:shd w:val="clear" w:color="auto" w:fill="FFFFFF"/>
        <w:spacing w:before="100" w:after="100" w:line="560" w:lineRule="atLeast"/>
        <w:ind w:firstLine="555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2021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部门预算包括本级预算和所属单位预算在内的汇总情况。按照预算管理有关规定，部门预算的编制实行综合预算制度，即全部收入和支出都反映在预算中。支出情况分别按资金来源、项目类别、功能分类科目和经济分类科目反映。</w:t>
      </w:r>
    </w:p>
    <w:p>
      <w:pPr>
        <w:widowControl/>
        <w:shd w:val="clear" w:color="auto" w:fill="FFFFFF"/>
        <w:spacing w:before="100" w:after="100" w:line="560" w:lineRule="atLeast"/>
        <w:ind w:firstLine="555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（一）收入预算</w:t>
      </w:r>
    </w:p>
    <w:p>
      <w:pPr>
        <w:widowControl/>
        <w:shd w:val="clear" w:color="auto" w:fill="FFFFFF"/>
        <w:spacing w:before="100" w:after="100" w:line="560" w:lineRule="atLeast"/>
        <w:ind w:firstLine="64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2021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年单位预算收入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8635.696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万元，其中：一般公共预算拨款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6796.096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万元，纳入公共预算管理的非税拨款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200.6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纳入非税专户管理的资金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拨款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768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上级补助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收入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868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万元，事业单位经营收入xx万元，其他收入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万元。收入较去年增加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620.951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万元，主要是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工资调级人员经费相应增加。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shd w:val="clear" w:color="auto" w:fill="FFFFFF"/>
        <w:spacing w:before="100" w:after="100" w:line="560" w:lineRule="atLeast"/>
        <w:ind w:firstLine="64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（二）支出预算</w:t>
      </w:r>
    </w:p>
    <w:p>
      <w:pPr>
        <w:widowControl/>
        <w:shd w:val="clear" w:color="auto" w:fill="FFFFFF"/>
        <w:spacing w:before="100" w:after="100" w:line="560" w:lineRule="atLeast"/>
        <w:ind w:left="140" w:firstLine="428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2021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年单位预算支出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8635.696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万元，其中：</w:t>
      </w:r>
    </w:p>
    <w:p>
      <w:pPr>
        <w:widowControl/>
        <w:shd w:val="clear" w:color="auto" w:fill="FFFFFF"/>
        <w:spacing w:line="560" w:lineRule="atLeast"/>
        <w:ind w:firstLine="64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1、按支出项目类别分：</w:t>
      </w:r>
    </w:p>
    <w:p>
      <w:pPr>
        <w:widowControl/>
        <w:shd w:val="clear" w:color="auto" w:fill="FFFFFF"/>
        <w:spacing w:line="560" w:lineRule="atLeas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基本支出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6335.696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万元，分别为：人员经费支出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5907.496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万元，公用经费支出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428.2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万元，主要是保障单位机构正常运转、完成日常工作任务而发生的各项支出，包括用于基本工资、津贴补贴等人员经费以及办公费、印刷费、水电费、办公设备购置等日常公用经费。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widowControl/>
        <w:shd w:val="clear" w:color="auto" w:fill="FFFFFF"/>
        <w:spacing w:line="560" w:lineRule="atLeast"/>
        <w:ind w:firstLine="640" w:firstLineChars="200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项目支出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2300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万元，其中: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减轻农民负担中央转移支付资金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项目支出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628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万元，主要用于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全市范围内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314公里大堤的维修维护管理、水利工程设施的维护管理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等方面；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地方水利建设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项目支出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768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万元，主要用于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各乡镇加大水利设施的维修养护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等方面；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防汛砂石采购项目支出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55万元，主要用于全市汛前防汛砂石的补库；汛前处险项目支出20万元，主要用于防汛处险；砂石执法工作经费366万元，主要用于全市砂石执法专项工作人员及工作经费；黄家湖电排站排渍电费20万元，主要用于黄家湖电排站电费开支支出；招商引资专项工作经费12万元，主要用于招商引资专项支出；河长制工作 经费32万元主要用于河长办人员经费及工作经费支出;历史遗留问题经费253万元用于解决历年来预算资金不足部分；排洪排涝工作经费138万元用于城区排洪排涝专项开支；五湖水位调控涵闸经费8万元用于五湖水位调控涵闸专项开支。</w:t>
      </w:r>
    </w:p>
    <w:p>
      <w:pPr>
        <w:widowControl/>
        <w:shd w:val="clear" w:color="auto" w:fill="FFFFFF"/>
        <w:spacing w:line="560" w:lineRule="atLeast"/>
        <w:ind w:firstLine="64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2、按支出功能分类股目：</w:t>
      </w:r>
    </w:p>
    <w:p>
      <w:pPr>
        <w:widowControl/>
        <w:shd w:val="clear" w:color="auto" w:fill="FFFFFF"/>
        <w:spacing w:line="560" w:lineRule="atLeast"/>
        <w:ind w:firstLine="64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2010301行政运行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6470.075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万元；</w:t>
      </w:r>
    </w:p>
    <w:p>
      <w:pPr>
        <w:widowControl/>
        <w:shd w:val="clear" w:color="auto" w:fill="FFFFFF"/>
        <w:spacing w:line="560" w:lineRule="atLeast"/>
        <w:ind w:firstLine="64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2010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01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住房公积金支出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158.621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万元；</w:t>
      </w:r>
    </w:p>
    <w:p>
      <w:pPr>
        <w:widowControl/>
        <w:shd w:val="clear" w:color="auto" w:fill="FFFFFF"/>
        <w:spacing w:line="560" w:lineRule="atLeast"/>
        <w:ind w:firstLine="640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2010302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一般行政管理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事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务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516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；</w:t>
      </w:r>
    </w:p>
    <w:p>
      <w:pPr>
        <w:widowControl/>
        <w:shd w:val="clear" w:color="auto" w:fill="FFFFFF"/>
        <w:spacing w:line="560" w:lineRule="atLeast"/>
        <w:ind w:firstLine="640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2130305水利工程建设(水利）768万元</w:t>
      </w:r>
    </w:p>
    <w:p>
      <w:pPr>
        <w:widowControl/>
        <w:shd w:val="clear" w:color="auto" w:fill="FFFFFF"/>
        <w:spacing w:line="560" w:lineRule="atLeast"/>
        <w:ind w:firstLine="640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2130306水利工程运行与维护8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；</w:t>
      </w:r>
    </w:p>
    <w:p>
      <w:pPr>
        <w:widowControl/>
        <w:shd w:val="clear" w:color="auto" w:fill="FFFFFF"/>
        <w:spacing w:line="560" w:lineRule="atLeast"/>
        <w:ind w:firstLine="640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2130399其他农林水支出32万元；</w:t>
      </w:r>
    </w:p>
    <w:p>
      <w:pPr>
        <w:widowControl/>
        <w:shd w:val="clear" w:color="auto" w:fill="FFFFFF"/>
        <w:spacing w:line="560" w:lineRule="atLeast"/>
        <w:ind w:firstLine="640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2130314防汛55万元；</w:t>
      </w:r>
    </w:p>
    <w:p>
      <w:pPr>
        <w:widowControl/>
        <w:shd w:val="clear" w:color="auto" w:fill="FFFFFF"/>
        <w:spacing w:line="560" w:lineRule="atLeast"/>
        <w:ind w:firstLine="640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2130799其他农村综合改革支出628万元；</w:t>
      </w:r>
    </w:p>
    <w:p>
      <w:pPr>
        <w:widowControl/>
        <w:shd w:val="clear" w:color="auto" w:fill="FFFFFF"/>
        <w:spacing w:line="560" w:lineRule="atLeast"/>
        <w:ind w:firstLine="64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3、按支出经济分类股目：</w:t>
      </w:r>
    </w:p>
    <w:p>
      <w:pPr>
        <w:widowControl/>
        <w:shd w:val="clear" w:color="auto" w:fill="FFFFFF"/>
        <w:spacing w:line="560" w:lineRule="atLeast"/>
        <w:ind w:firstLine="64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工资福利支出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5763.293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万元；</w:t>
      </w:r>
    </w:p>
    <w:p>
      <w:pPr>
        <w:widowControl/>
        <w:shd w:val="clear" w:color="auto" w:fill="FFFFFF"/>
        <w:spacing w:line="560" w:lineRule="atLeast"/>
        <w:ind w:firstLine="64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商品和服务支出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428.2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万元；</w:t>
      </w:r>
    </w:p>
    <w:p>
      <w:pPr>
        <w:widowControl/>
        <w:shd w:val="clear" w:color="auto" w:fill="FFFFFF"/>
        <w:spacing w:line="560" w:lineRule="atLeast"/>
        <w:ind w:firstLine="64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对个人和家庭的补助支出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144.203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万元；</w:t>
      </w:r>
    </w:p>
    <w:p>
      <w:pPr>
        <w:widowControl/>
        <w:shd w:val="clear" w:color="auto" w:fill="FFFFFF"/>
        <w:spacing w:line="560" w:lineRule="atLeast"/>
        <w:ind w:firstLine="64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项目支出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2300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万元；</w:t>
      </w:r>
    </w:p>
    <w:p>
      <w:pPr>
        <w:widowControl/>
        <w:shd w:val="clear" w:color="auto" w:fill="FFFFFF"/>
        <w:spacing w:before="100" w:after="100" w:line="560" w:lineRule="atLeast"/>
        <w:ind w:firstLine="57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2021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年全年收支预算平衡。</w:t>
      </w:r>
    </w:p>
    <w:p>
      <w:pPr>
        <w:widowControl/>
        <w:numPr>
          <w:ilvl w:val="0"/>
          <w:numId w:val="2"/>
        </w:numPr>
        <w:shd w:val="clear" w:color="auto" w:fill="FFFFFF"/>
        <w:spacing w:before="100" w:after="100" w:line="560" w:lineRule="atLeast"/>
        <w:ind w:firstLine="472" w:firstLineChars="147"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其他重要事项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机关运行经费执行情况</w:t>
      </w:r>
    </w:p>
    <w:p>
      <w:pPr>
        <w:ind w:firstLine="600"/>
        <w:rPr>
          <w:rFonts w:hint="default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2021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年单位的机关运行经费当年一般公共预算拨款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1791.146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万元，比20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年预算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358.453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上升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%。增加原因为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2021年部门预算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市政府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将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水利局机关差额预算部位调整为全额预算单位。</w:t>
      </w:r>
    </w:p>
    <w:p>
      <w:pPr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/>
          <w:color w:val="333333"/>
          <w:sz w:val="30"/>
          <w:szCs w:val="30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（二）“三公”经费情况</w:t>
      </w:r>
    </w:p>
    <w:p>
      <w:pPr>
        <w:ind w:firstLine="600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2021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年，我系统 “三公”经费财政拨款预算数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万元，其中：公务接待费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万元，公务用车购置费用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万元，公务用车运行维护费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0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原因为公车改革后单位无公车。</w:t>
      </w:r>
    </w:p>
    <w:p>
      <w:pPr>
        <w:ind w:firstLine="480" w:firstLineChars="15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（三）政府采购情况</w:t>
      </w:r>
    </w:p>
    <w:p>
      <w:pPr>
        <w:ind w:firstLine="480" w:firstLineChars="15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2021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年，我单位安排政府采购预算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55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万元，使用采购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55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万元，主要用于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防汛砂石的调运和采购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等。</w:t>
      </w:r>
    </w:p>
    <w:p>
      <w:pPr>
        <w:ind w:firstLine="480" w:firstLineChars="15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（四）国有资产占用使用情况</w:t>
      </w:r>
    </w:p>
    <w:p>
      <w:pPr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截止20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年12月3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日，我单位共有车辆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辆，价值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万元；电脑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85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台，价值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35.98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万元；专用设备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12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台，价值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181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万元等，资产总价值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216.98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万元。</w:t>
      </w:r>
    </w:p>
    <w:p>
      <w:pPr>
        <w:ind w:firstLine="480" w:firstLineChars="15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（五）预算绩效评价情况</w:t>
      </w:r>
    </w:p>
    <w:p>
      <w:pPr>
        <w:widowControl/>
        <w:shd w:val="clear" w:color="auto" w:fill="FFFFFF"/>
        <w:spacing w:line="524" w:lineRule="atLeas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2021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年度，本部门整体支出和项目支出实行绩效目标管理，纳入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2021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年部门整体支出绩效目标的金额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8635.696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万元，其中，基本支出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6335.696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万元，项目支出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2300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万元。</w:t>
      </w:r>
    </w:p>
    <w:p>
      <w:pPr>
        <w:widowControl/>
        <w:shd w:val="clear" w:color="auto" w:fill="FFFFFF"/>
        <w:spacing w:line="524" w:lineRule="atLeas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减轻农民负担转移支付资金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项目绩效评价：项目金额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628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万元，完成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628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目标，达到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100%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成效，获得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100%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收益。</w:t>
      </w:r>
    </w:p>
    <w:p>
      <w:pPr>
        <w:widowControl/>
        <w:shd w:val="clear" w:color="auto" w:fill="FFFFFF"/>
        <w:spacing w:line="524" w:lineRule="atLeas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砂石执法工作经费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项目绩效评价：项目金额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366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万元，完成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366万元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目标，达到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100%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成效，获得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100%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收益。</w:t>
      </w:r>
    </w:p>
    <w:p>
      <w:pPr>
        <w:widowControl/>
        <w:shd w:val="clear" w:color="auto" w:fill="FFFFFF"/>
        <w:spacing w:line="524" w:lineRule="atLeast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</w:p>
    <w:p>
      <w:pPr>
        <w:widowControl/>
        <w:ind w:firstLine="643" w:firstLineChars="200"/>
        <w:jc w:val="left"/>
        <w:rPr>
          <w:rFonts w:hint="eastAsia" w:ascii="宋体" w:hAnsi="宋体" w:cs="Arial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六、名词解释</w:t>
      </w:r>
      <w:r>
        <w:rPr>
          <w:rFonts w:hint="eastAsia" w:ascii="宋体" w:hAnsi="宋体" w:cs="Arial"/>
          <w:kern w:val="0"/>
          <w:sz w:val="28"/>
          <w:szCs w:val="28"/>
        </w:rPr>
        <w:t> </w:t>
      </w:r>
    </w:p>
    <w:p>
      <w:pPr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Arial"/>
          <w:kern w:val="0"/>
          <w:sz w:val="28"/>
          <w:szCs w:val="28"/>
        </w:rPr>
        <w:t>　　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>
      <w:pPr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　　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 </w:t>
      </w:r>
    </w:p>
    <w:p>
      <w:pPr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rPr>
          <w:rFonts w:hint="default"/>
          <w:b/>
          <w:bCs/>
          <w:sz w:val="36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E4B"/>
    <w:multiLevelType w:val="multilevel"/>
    <w:tmpl w:val="1F4C5E4B"/>
    <w:lvl w:ilvl="0" w:tentative="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DE9D127"/>
    <w:multiLevelType w:val="singleLevel"/>
    <w:tmpl w:val="5DE9D127"/>
    <w:lvl w:ilvl="0" w:tentative="0">
      <w:start w:val="5"/>
      <w:numFmt w:val="chineseCounting"/>
      <w:suff w:val="nothing"/>
      <w:lvlText w:val="%1、"/>
      <w:lvlJc w:val="left"/>
    </w:lvl>
  </w:abstractNum>
  <w:abstractNum w:abstractNumId="2">
    <w:nsid w:val="5DE9D174"/>
    <w:multiLevelType w:val="singleLevel"/>
    <w:tmpl w:val="5DE9D174"/>
    <w:lvl w:ilvl="0" w:tentative="0">
      <w:start w:val="1"/>
      <w:numFmt w:val="chineseCounting"/>
      <w:suff w:val="nothing"/>
      <w:lvlText w:val="(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EC"/>
    <w:rsid w:val="00145B99"/>
    <w:rsid w:val="00263E2E"/>
    <w:rsid w:val="003B4D05"/>
    <w:rsid w:val="00716A0A"/>
    <w:rsid w:val="007468BC"/>
    <w:rsid w:val="00CB0E7A"/>
    <w:rsid w:val="00D60A6D"/>
    <w:rsid w:val="00D964EC"/>
    <w:rsid w:val="00F7408E"/>
    <w:rsid w:val="09604D6B"/>
    <w:rsid w:val="0EB06939"/>
    <w:rsid w:val="15F06F3B"/>
    <w:rsid w:val="1E4507E5"/>
    <w:rsid w:val="33E8668A"/>
    <w:rsid w:val="35907214"/>
    <w:rsid w:val="425F737A"/>
    <w:rsid w:val="436C043F"/>
    <w:rsid w:val="43E31EC5"/>
    <w:rsid w:val="4547389B"/>
    <w:rsid w:val="481E247F"/>
    <w:rsid w:val="48DD2D62"/>
    <w:rsid w:val="4A5506F8"/>
    <w:rsid w:val="4E9E3270"/>
    <w:rsid w:val="54465CE7"/>
    <w:rsid w:val="68AE7B23"/>
    <w:rsid w:val="71B466B3"/>
    <w:rsid w:val="7FFA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35</Words>
  <Characters>202</Characters>
  <Lines>1</Lines>
  <Paragraphs>1</Paragraphs>
  <TotalTime>0</TotalTime>
  <ScaleCrop>false</ScaleCrop>
  <LinksUpToDate>false</LinksUpToDate>
  <CharactersWithSpaces>236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2020-02-10T07:55:00Z</dcterms:created>
  <dc:creator>User</dc:creator>
  <cp:lastModifiedBy>Administrator</cp:lastModifiedBy>
  <dcterms:modified xsi:type="dcterms:W3CDTF">2021-01-27T02:22:45Z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