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44"/>
          <w:szCs w:val="44"/>
          <w:lang w:val="en-US" w:eastAsia="zh-CN"/>
        </w:rPr>
      </w:pPr>
      <w:r>
        <w:rPr>
          <w:rFonts w:hint="eastAsia"/>
          <w:sz w:val="44"/>
          <w:szCs w:val="44"/>
          <w:lang w:val="en-US" w:eastAsia="zh-CN"/>
        </w:rPr>
        <w:t>行政执法依据</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24"/>
        <w:gridCol w:w="2760"/>
        <w:gridCol w:w="2070"/>
        <w:gridCol w:w="1050"/>
        <w:gridCol w:w="1035"/>
        <w:gridCol w:w="9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序号</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依据名称</w:t>
            </w:r>
          </w:p>
        </w:tc>
        <w:tc>
          <w:tcPr>
            <w:tcW w:w="207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发文字号、时间</w:t>
            </w:r>
            <w:bookmarkStart w:id="0" w:name="_GoBack"/>
            <w:bookmarkEnd w:id="0"/>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层次</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依据类型</w:t>
            </w:r>
          </w:p>
        </w:tc>
        <w:tc>
          <w:tcPr>
            <w:tcW w:w="983"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1</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《中华人民共和国土地管理法》</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2019年8月25日主席令第32号</w:t>
            </w:r>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国家</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法律</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tabs>
                <w:tab w:val="left" w:pos="591"/>
              </w:tabs>
              <w:jc w:val="center"/>
              <w:rPr>
                <w:rFonts w:hint="default" w:eastAsiaTheme="minorEastAsia"/>
                <w:sz w:val="18"/>
                <w:szCs w:val="18"/>
                <w:vertAlign w:val="baseline"/>
                <w:lang w:val="en-US" w:eastAsia="zh-CN"/>
              </w:rPr>
            </w:pPr>
            <w:r>
              <w:rPr>
                <w:rFonts w:hint="eastAsia"/>
                <w:sz w:val="18"/>
                <w:szCs w:val="18"/>
                <w:vertAlign w:val="baseline"/>
                <w:lang w:val="en-US" w:eastAsia="zh-CN"/>
              </w:rPr>
              <w:t>2</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《中华人民共和国土地管理法实施条例》</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2014年7月29日国务院令第653号</w:t>
            </w:r>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国家</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法规</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3</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《违反土地管理规定行为处分办法》</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2008年6月1日国土资源部令第15号</w:t>
            </w:r>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部委</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法规</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4</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《中华人民共和国基本农田保护条例》</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1999年1月1日国务院令第257号，2011年1月8日修订</w:t>
            </w:r>
          </w:p>
        </w:tc>
        <w:tc>
          <w:tcPr>
            <w:tcW w:w="1050" w:type="dxa"/>
            <w:vAlign w:val="center"/>
          </w:tcPr>
          <w:p>
            <w:pPr>
              <w:jc w:val="center"/>
              <w:rPr>
                <w:sz w:val="18"/>
                <w:szCs w:val="18"/>
                <w:vertAlign w:val="baseline"/>
              </w:rPr>
            </w:pPr>
            <w:r>
              <w:rPr>
                <w:rFonts w:hint="eastAsia"/>
                <w:sz w:val="18"/>
                <w:szCs w:val="18"/>
                <w:vertAlign w:val="baseline"/>
                <w:lang w:eastAsia="zh-CN"/>
              </w:rPr>
              <w:t>国家</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法规</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5</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《中华人民共和国城市房地产管理法》</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2019年8月26日主席令第29号</w:t>
            </w:r>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国家</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法律</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6</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《中华人民共和国城乡规划法》</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2019年4月23日主席令第29号</w:t>
            </w:r>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国家</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法律</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7</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《最高人民法院关于审理破坏土地资源刑事案件具体应用法律若干问题的解释》</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eastAsia="zh-CN"/>
              </w:rPr>
              <w:t>法释</w:t>
            </w:r>
            <w:r>
              <w:rPr>
                <w:rFonts w:hint="eastAsia"/>
                <w:sz w:val="18"/>
                <w:szCs w:val="18"/>
                <w:vertAlign w:val="baseline"/>
                <w:lang w:val="en-US" w:eastAsia="zh-CN"/>
              </w:rPr>
              <w:t>[2000]14号</w:t>
            </w:r>
          </w:p>
          <w:p>
            <w:pPr>
              <w:bidi w:val="0"/>
              <w:jc w:val="center"/>
              <w:rPr>
                <w:rFonts w:asciiTheme="minorHAnsi" w:hAnsiTheme="minorHAnsi" w:eastAsiaTheme="minorEastAsia" w:cstheme="minorBidi"/>
                <w:kern w:val="2"/>
                <w:sz w:val="21"/>
                <w:szCs w:val="24"/>
                <w:lang w:val="en-US" w:eastAsia="zh-CN" w:bidi="ar-SA"/>
              </w:rPr>
            </w:pPr>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国家</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法律</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8</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《中华人民共和国矿产资源法》</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2009年8月27日主席令第18号</w:t>
            </w:r>
          </w:p>
        </w:tc>
        <w:tc>
          <w:tcPr>
            <w:tcW w:w="105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国家</w:t>
            </w:r>
          </w:p>
        </w:tc>
        <w:tc>
          <w:tcPr>
            <w:tcW w:w="1035"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法律</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eastAsia" w:eastAsiaTheme="minorEastAsia"/>
                <w:sz w:val="18"/>
                <w:szCs w:val="18"/>
                <w:vertAlign w:val="baseline"/>
                <w:lang w:val="en-US" w:eastAsia="zh-CN"/>
              </w:rPr>
            </w:pPr>
            <w:r>
              <w:rPr>
                <w:rFonts w:hint="eastAsia"/>
                <w:sz w:val="18"/>
                <w:szCs w:val="18"/>
                <w:vertAlign w:val="baseline"/>
                <w:lang w:val="en-US" w:eastAsia="zh-CN"/>
              </w:rPr>
              <w:t>9</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《中华人民共和国矿产资源法实施细则》</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1994年3月26日国务院令第152号</w:t>
            </w:r>
          </w:p>
        </w:tc>
        <w:tc>
          <w:tcPr>
            <w:tcW w:w="1050" w:type="dxa"/>
            <w:vAlign w:val="center"/>
          </w:tcPr>
          <w:p>
            <w:pPr>
              <w:jc w:val="center"/>
              <w:rPr>
                <w:sz w:val="18"/>
                <w:szCs w:val="18"/>
                <w:vertAlign w:val="baseline"/>
              </w:rPr>
            </w:pPr>
            <w:r>
              <w:rPr>
                <w:rFonts w:hint="eastAsia"/>
                <w:sz w:val="18"/>
                <w:szCs w:val="18"/>
                <w:vertAlign w:val="baseline"/>
                <w:lang w:eastAsia="zh-CN"/>
              </w:rPr>
              <w:t>国家</w:t>
            </w:r>
          </w:p>
        </w:tc>
        <w:tc>
          <w:tcPr>
            <w:tcW w:w="1035" w:type="dxa"/>
            <w:vAlign w:val="center"/>
          </w:tcPr>
          <w:p>
            <w:pPr>
              <w:jc w:val="center"/>
              <w:rPr>
                <w:sz w:val="18"/>
                <w:szCs w:val="18"/>
                <w:vertAlign w:val="baseline"/>
              </w:rPr>
            </w:pPr>
            <w:r>
              <w:rPr>
                <w:rFonts w:hint="eastAsia"/>
                <w:sz w:val="18"/>
                <w:szCs w:val="18"/>
                <w:vertAlign w:val="baseline"/>
                <w:lang w:eastAsia="zh-CN"/>
              </w:rPr>
              <w:t>法规</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10</w:t>
            </w:r>
          </w:p>
        </w:tc>
        <w:tc>
          <w:tcPr>
            <w:tcW w:w="2760" w:type="dxa"/>
            <w:vAlign w:val="center"/>
          </w:tcPr>
          <w:p>
            <w:pPr>
              <w:jc w:val="center"/>
              <w:rPr>
                <w:rFonts w:hint="eastAsia" w:eastAsiaTheme="minorEastAsia"/>
                <w:sz w:val="18"/>
                <w:szCs w:val="18"/>
                <w:vertAlign w:val="baseline"/>
                <w:lang w:eastAsia="zh-CN"/>
              </w:rPr>
            </w:pPr>
            <w:r>
              <w:rPr>
                <w:rFonts w:hint="eastAsia"/>
                <w:sz w:val="18"/>
                <w:szCs w:val="18"/>
                <w:vertAlign w:val="baseline"/>
                <w:lang w:eastAsia="zh-CN"/>
              </w:rPr>
              <w:t>《矿产资源勘查区块登记管理办法》</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2014年7月29日国务院令第653号</w:t>
            </w:r>
          </w:p>
        </w:tc>
        <w:tc>
          <w:tcPr>
            <w:tcW w:w="1050" w:type="dxa"/>
            <w:vAlign w:val="center"/>
          </w:tcPr>
          <w:p>
            <w:pPr>
              <w:jc w:val="center"/>
              <w:rPr>
                <w:sz w:val="18"/>
                <w:szCs w:val="18"/>
                <w:vertAlign w:val="baseline"/>
              </w:rPr>
            </w:pPr>
            <w:r>
              <w:rPr>
                <w:rFonts w:hint="eastAsia"/>
                <w:sz w:val="18"/>
                <w:szCs w:val="18"/>
                <w:vertAlign w:val="baseline"/>
                <w:lang w:eastAsia="zh-CN"/>
              </w:rPr>
              <w:t>国家</w:t>
            </w:r>
          </w:p>
        </w:tc>
        <w:tc>
          <w:tcPr>
            <w:tcW w:w="1035" w:type="dxa"/>
            <w:vAlign w:val="center"/>
          </w:tcPr>
          <w:p>
            <w:pPr>
              <w:jc w:val="center"/>
              <w:rPr>
                <w:sz w:val="18"/>
                <w:szCs w:val="18"/>
                <w:vertAlign w:val="baseline"/>
              </w:rPr>
            </w:pPr>
            <w:r>
              <w:rPr>
                <w:rFonts w:hint="eastAsia"/>
                <w:sz w:val="18"/>
                <w:szCs w:val="18"/>
                <w:vertAlign w:val="baseline"/>
                <w:lang w:eastAsia="zh-CN"/>
              </w:rPr>
              <w:t>法规</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exact"/>
        </w:trPr>
        <w:tc>
          <w:tcPr>
            <w:tcW w:w="624"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11</w:t>
            </w:r>
          </w:p>
        </w:tc>
        <w:tc>
          <w:tcPr>
            <w:tcW w:w="2760" w:type="dxa"/>
            <w:vAlign w:val="center"/>
          </w:tcPr>
          <w:p>
            <w:pPr>
              <w:jc w:val="center"/>
              <w:rPr>
                <w:sz w:val="18"/>
                <w:szCs w:val="18"/>
                <w:vertAlign w:val="baseline"/>
              </w:rPr>
            </w:pPr>
            <w:r>
              <w:rPr>
                <w:rFonts w:hint="eastAsia"/>
                <w:sz w:val="18"/>
                <w:szCs w:val="18"/>
                <w:vertAlign w:val="baseline"/>
                <w:lang w:eastAsia="zh-CN"/>
              </w:rPr>
              <w:t>《矿产资源开采登记管理办法》</w:t>
            </w:r>
          </w:p>
        </w:tc>
        <w:tc>
          <w:tcPr>
            <w:tcW w:w="2070" w:type="dxa"/>
            <w:vAlign w:val="center"/>
          </w:tcPr>
          <w:p>
            <w:pPr>
              <w:jc w:val="center"/>
              <w:rPr>
                <w:sz w:val="18"/>
                <w:szCs w:val="18"/>
                <w:vertAlign w:val="baseline"/>
              </w:rPr>
            </w:pPr>
            <w:r>
              <w:rPr>
                <w:rFonts w:hint="eastAsia"/>
                <w:sz w:val="18"/>
                <w:szCs w:val="18"/>
                <w:vertAlign w:val="baseline"/>
                <w:lang w:val="en-US" w:eastAsia="zh-CN"/>
              </w:rPr>
              <w:t>2014年7月29日国务院令第653号</w:t>
            </w:r>
          </w:p>
        </w:tc>
        <w:tc>
          <w:tcPr>
            <w:tcW w:w="1050" w:type="dxa"/>
            <w:vAlign w:val="center"/>
          </w:tcPr>
          <w:p>
            <w:pPr>
              <w:jc w:val="center"/>
              <w:rPr>
                <w:sz w:val="18"/>
                <w:szCs w:val="18"/>
                <w:vertAlign w:val="baseline"/>
              </w:rPr>
            </w:pPr>
            <w:r>
              <w:rPr>
                <w:rFonts w:hint="eastAsia"/>
                <w:sz w:val="18"/>
                <w:szCs w:val="18"/>
                <w:vertAlign w:val="baseline"/>
                <w:lang w:eastAsia="zh-CN"/>
              </w:rPr>
              <w:t>国家</w:t>
            </w:r>
          </w:p>
        </w:tc>
        <w:tc>
          <w:tcPr>
            <w:tcW w:w="1035" w:type="dxa"/>
            <w:vAlign w:val="center"/>
          </w:tcPr>
          <w:p>
            <w:pPr>
              <w:jc w:val="center"/>
              <w:rPr>
                <w:sz w:val="18"/>
                <w:szCs w:val="18"/>
                <w:vertAlign w:val="baseline"/>
              </w:rPr>
            </w:pPr>
            <w:r>
              <w:rPr>
                <w:rFonts w:hint="eastAsia"/>
                <w:sz w:val="18"/>
                <w:szCs w:val="18"/>
                <w:vertAlign w:val="baseline"/>
                <w:lang w:eastAsia="zh-CN"/>
              </w:rPr>
              <w:t>法规</w:t>
            </w:r>
          </w:p>
        </w:tc>
        <w:tc>
          <w:tcPr>
            <w:tcW w:w="983" w:type="dxa"/>
            <w:vAlign w:val="center"/>
          </w:tcPr>
          <w:p>
            <w:pPr>
              <w:jc w:val="center"/>
              <w:rPr>
                <w:sz w:val="18"/>
                <w:szCs w:val="18"/>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0" w:hRule="exact"/>
        </w:trPr>
        <w:tc>
          <w:tcPr>
            <w:tcW w:w="624"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val="en-US" w:eastAsia="zh-CN"/>
              </w:rPr>
              <w:t>12</w:t>
            </w:r>
          </w:p>
          <w:p>
            <w:pPr>
              <w:jc w:val="center"/>
              <w:rPr>
                <w:sz w:val="18"/>
                <w:szCs w:val="18"/>
                <w:vertAlign w:val="baseline"/>
              </w:rPr>
            </w:pPr>
          </w:p>
        </w:tc>
        <w:tc>
          <w:tcPr>
            <w:tcW w:w="2760" w:type="dxa"/>
            <w:vAlign w:val="center"/>
          </w:tcPr>
          <w:p>
            <w:pPr>
              <w:jc w:val="center"/>
              <w:rPr>
                <w:sz w:val="18"/>
                <w:szCs w:val="18"/>
                <w:vertAlign w:val="baseline"/>
              </w:rPr>
            </w:pPr>
            <w:r>
              <w:rPr>
                <w:rFonts w:hint="eastAsia"/>
                <w:sz w:val="18"/>
                <w:szCs w:val="18"/>
                <w:vertAlign w:val="baseline"/>
                <w:lang w:eastAsia="zh-CN"/>
              </w:rPr>
              <w:t>《最高人民法院关于审理非法采矿、破坏性采矿具体应用法律若干问题的解释》</w:t>
            </w:r>
          </w:p>
        </w:tc>
        <w:tc>
          <w:tcPr>
            <w:tcW w:w="2070" w:type="dxa"/>
            <w:vAlign w:val="center"/>
          </w:tcPr>
          <w:p>
            <w:pPr>
              <w:jc w:val="center"/>
              <w:rPr>
                <w:rFonts w:hint="default" w:eastAsiaTheme="minorEastAsia"/>
                <w:sz w:val="18"/>
                <w:szCs w:val="18"/>
                <w:vertAlign w:val="baseline"/>
                <w:lang w:val="en-US" w:eastAsia="zh-CN"/>
              </w:rPr>
            </w:pPr>
            <w:r>
              <w:rPr>
                <w:rFonts w:hint="eastAsia"/>
                <w:sz w:val="18"/>
                <w:szCs w:val="18"/>
                <w:vertAlign w:val="baseline"/>
                <w:lang w:eastAsia="zh-CN"/>
              </w:rPr>
              <w:t>法释</w:t>
            </w:r>
            <w:r>
              <w:rPr>
                <w:rFonts w:hint="eastAsia"/>
                <w:sz w:val="18"/>
                <w:szCs w:val="18"/>
                <w:vertAlign w:val="baseline"/>
                <w:lang w:val="en-US" w:eastAsia="zh-CN"/>
              </w:rPr>
              <w:t>[2016]25号</w:t>
            </w:r>
          </w:p>
          <w:p>
            <w:pPr>
              <w:jc w:val="center"/>
              <w:rPr>
                <w:sz w:val="18"/>
                <w:szCs w:val="18"/>
                <w:vertAlign w:val="baseline"/>
              </w:rPr>
            </w:pPr>
          </w:p>
        </w:tc>
        <w:tc>
          <w:tcPr>
            <w:tcW w:w="1050" w:type="dxa"/>
            <w:vAlign w:val="center"/>
          </w:tcPr>
          <w:p>
            <w:pPr>
              <w:jc w:val="center"/>
              <w:rPr>
                <w:sz w:val="18"/>
                <w:szCs w:val="18"/>
                <w:vertAlign w:val="baseline"/>
              </w:rPr>
            </w:pPr>
            <w:r>
              <w:rPr>
                <w:rFonts w:hint="eastAsia"/>
                <w:sz w:val="18"/>
                <w:szCs w:val="18"/>
                <w:vertAlign w:val="baseline"/>
                <w:lang w:eastAsia="zh-CN"/>
              </w:rPr>
              <w:t>国家</w:t>
            </w:r>
          </w:p>
        </w:tc>
        <w:tc>
          <w:tcPr>
            <w:tcW w:w="1035" w:type="dxa"/>
            <w:vAlign w:val="center"/>
          </w:tcPr>
          <w:p>
            <w:pPr>
              <w:jc w:val="center"/>
              <w:rPr>
                <w:sz w:val="18"/>
                <w:szCs w:val="18"/>
                <w:vertAlign w:val="baseline"/>
              </w:rPr>
            </w:pPr>
            <w:r>
              <w:rPr>
                <w:rFonts w:hint="eastAsia"/>
                <w:sz w:val="18"/>
                <w:szCs w:val="18"/>
                <w:vertAlign w:val="baseline"/>
                <w:lang w:eastAsia="zh-CN"/>
              </w:rPr>
              <w:t>法律</w:t>
            </w:r>
          </w:p>
        </w:tc>
        <w:tc>
          <w:tcPr>
            <w:tcW w:w="983" w:type="dxa"/>
            <w:vAlign w:val="center"/>
          </w:tcPr>
          <w:p>
            <w:pPr>
              <w:jc w:val="center"/>
              <w:rPr>
                <w:sz w:val="18"/>
                <w:szCs w:val="18"/>
                <w:vertAlign w:val="baseline"/>
              </w:rPr>
            </w:pPr>
          </w:p>
        </w:tc>
      </w:tr>
    </w:tbl>
    <w:p>
      <w:pPr>
        <w:jc w:val="center"/>
        <w:rPr>
          <w:rFonts w:hint="eastAsia"/>
          <w:sz w:val="44"/>
          <w:szCs w:val="44"/>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946739A"/>
    <w:rsid w:val="5AD04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2020-10-21T02:21:18Z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