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微软雅黑" w:hAnsi="微软雅黑" w:eastAsia="微软雅黑" w:cs="微软雅黑"/>
          <w:b w:val="0"/>
          <w:i w:val="0"/>
          <w:caps w:val="0"/>
          <w:color w:val="000000"/>
          <w:spacing w:val="0"/>
          <w:sz w:val="42"/>
          <w:szCs w:val="42"/>
        </w:rPr>
      </w:pPr>
      <w:r>
        <w:rPr>
          <w:rFonts w:hint="eastAsia" w:ascii="微软雅黑" w:hAnsi="微软雅黑" w:eastAsia="微软雅黑" w:cs="微软雅黑"/>
          <w:b w:val="0"/>
          <w:i w:val="0"/>
          <w:caps w:val="0"/>
          <w:color w:val="000000"/>
          <w:spacing w:val="0"/>
          <w:sz w:val="42"/>
          <w:szCs w:val="42"/>
          <w:bdr w:val="none" w:color="auto" w:sz="0" w:space="0"/>
          <w:shd w:val="clear" w:fill="FFFFFF"/>
        </w:rPr>
        <w:t>沅江市市场服务中心2019年度部门决算公开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目</w:t>
      </w:r>
      <w:r>
        <w:rPr>
          <w:rFonts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0"/>
        <w:jc w:val="left"/>
        <w:rPr>
          <w:rFonts w:hint="eastAsia"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第一部分</w:t>
      </w: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沅江市市场服务中心概况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ascii="楷体" w:hAnsi="楷体" w:eastAsia="楷体" w:cs="楷体"/>
          <w:i w:val="0"/>
          <w:caps w:val="0"/>
          <w:color w:val="000000"/>
          <w:spacing w:val="0"/>
          <w:kern w:val="0"/>
          <w:sz w:val="32"/>
          <w:szCs w:val="32"/>
          <w:bdr w:val="none" w:color="auto" w:sz="0" w:space="0"/>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第二部分 沅江市市场服务中心2019年度部门决算表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第三部分 沅江市市场服务中心2019年度部门决算情况说明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七、政府性基金预算财政拨款支出决算情况说明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八、一般公共预算财政拨款“三公”经费支出决算情况说明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ascii="Calibri" w:hAnsi="Calibri" w:eastAsia="微软雅黑" w:cs="Calibri"/>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第一部分</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沅江市市场服务中心</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单位概况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单位职能：本单位主要贯彻中央、省、市关于市场规划建设和管理的法律法规，执行本市市场计划建设和管理的规章制度；负责市场信息统计工作；经营管理自建市场和新建市场的资产，负责市场设施的维修和改造，为市场业主提供各种服务设施和服务项目，收取市场交易服务费；负责搞好市场消防、安全、卫生、秩序及其他经营性事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5"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2" w:right="0" w:firstLine="48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市场服务中心为沅江市商务局所属副科级公益类事业单位，核定自收自支事业编制101名（其中市场服务中心机关15名，城区市场服务所53名，北部市场服务所33名），设主任1名，副主任3名，中心机关内设4个股室，分别为办公室，人事股财务股和市场管理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5" w:right="0" w:hanging="795"/>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从决算单位构成看，沅江市市场服务中心单位部门决算为一级预算单位，部门决算报表单独公开，没有下属单位。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第二部分</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沅江市市场服务中心2019</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表1：收入支出决算总表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表2：收入决算表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表3：支出决算表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表4：财政拨款收入支出决算总表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表5：一般公共预算财政拨款支出决算表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表6：一般公共预算财政拨款基本支出决算表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表7：一般公共预算财政拨款“三公”经费支出决算表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表8：政府性基金预算财政拨款收入支出决算表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表8无数据，本单位没有政府性基金收入，也没有政府性基金安排的支出，故本表无数据。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第三部分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沅江市市场服务中心</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2019</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一、关于市场服务中心 2019年度收入支出决算总体情况说明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kern w:val="0"/>
          <w:sz w:val="32"/>
          <w:szCs w:val="32"/>
          <w:bdr w:val="none" w:color="auto" w:sz="0" w:space="0"/>
          <w:shd w:val="clear" w:fill="FFFFFF"/>
          <w:lang w:val="en-US" w:eastAsia="zh-CN" w:bidi="ar"/>
        </w:rPr>
        <w:t>本</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单位2019年度收入总计766.44万元，比上年同期减少35.8万元，下降4.46%；支出总计731.65万元，比上年同期减少50.72万元，下降6.48%；主要原因是职工退休5人，工资及其他福利支出减少导致财政拨款收入减少，所以支出也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二、关于市场服务中心2019 年度收入决算情况说明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2019年度收入合计 766.44万元，其中：财政拨款收入757.84万元，占 99%；其他收入8.6万元，占1%。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三、关于市场服务中心2019年度支出决算情况说明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2019年度支出合计731.65万元，其中：基本支出531.73万元，占 73%；项目支出199.92 万元，占27%。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四、关于市场服务中心2019 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2019年度财政拨款收入总计758.84万元，比上年同期减少43.4万元，下降5.41%；财政拨款支出总计731.65万元，比上年同期减少50.72万元，下降6.48%。主要原因是在职职工转退休5人，相应的工资福利减少，导致财政拨款收入减少，从而支出也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五、关于市场服务中心2019 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ascii="楷体" w:hAnsi="楷体" w:eastAsia="楷体" w:cs="楷体"/>
          <w:i w:val="0"/>
          <w:caps w:val="0"/>
          <w:color w:val="000000"/>
          <w:spacing w:val="0"/>
          <w:kern w:val="0"/>
          <w:sz w:val="32"/>
          <w:szCs w:val="32"/>
          <w:bdr w:val="none" w:color="auto" w:sz="0" w:space="0"/>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一般公共预算财政拨款收入总计758.84万元，比上年同期减少43.4万元，下降5.41%；一般公共预算财政拨款支出总计731.65万元，比上年同期减少50.72万元，下降6.48%。主要原因是在职职工转退休5人，相应的工资福利减少，导致财政拨款收入减少，从而支出也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本单位财政拨款支出731.65万元，主要用于以下几个方面：卫生健康（类）支出8万元，占1.1%，商业服务业（类）等支出691.21万元，占94.47%，住房保障（类）支出32.44万元，占4.43%。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1本单位2019年度.卫生健康（类）支出，优抚对象医疗（款）优抚对象医疗补助（项）财政拨款支出 8万元，主要用于单位职工医保补差。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 商品服务业（类）支出，商品流通事务（款）下：行政运行（项1）财政拨款支出 466.29万元，主要用于发放干职工工资及各类保险:一般行政管理事务（项2）199.92万元，主要用于单位正常运转经费开支;其他商业流通事务支出（项3）5万元，主要用于各所市场整治卫生工具费用等；商业服务业（类）支出，其他商业服务业等支出（款）其他商业服务业等支出（项）20万元，主要用于各所市场整治维修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3.住房保障（类）支出，住房改革支出（款）住房公积金（项）32.44万元，主要用于缴纳单位干职工的住房公积金。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六、关于市场服务中心2019年度一般公共预算财政拨款基本支出决算情况说明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2019年度一般公共预算财政拨款基本支出531.73万元，其中人员经费支出 504.56万元，人员经费中又包括工资福利支出494.02万元和对个人和家庭补助支出10.54万元，明细项包括：基本工资、津贴补贴、奖金、绩效奖励、各类保险和住房公积金、伙食补助费、抚恤费及其他对个人和家庭的补助支出等；公用经费支出 27.17万元。主要包括：办公费、印刷费、水电费及工会经费等。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七、关于市场服务中心2019年度政府性基金预算财政拨款支出决算情况说明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政府性基金预算财政拨款收入支出决算总体情况。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2019年度本单位没有政府性基金收入，也没有政府性基金安排的支出。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八、关于市场服务中心2019 年度一般公共预算财政拨款“三公”经费支出决算情况说明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vertAlign w:val="subscript"/>
          <w:lang w:val="en-US" w:eastAsia="zh-CN" w:bidi="ar"/>
        </w:rPr>
        <w:t>20189年度“三公”经费财政拨款支出预算为5万元，支出决算为3.76万元，完成预算的75.2%，其中公务接待费支出决算为 3.76万元，完成预算的75.2%。没有因公出国和公务用车。2019年度“三公”经费支出决算数小于预算数的主要原因是厉行节约，减少经费开支。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2019年度“三公”经费财政拨款支出决算为3.76万元，其中公务接待费支出决算为 3.76万元，占100%。2019 年度“三公”经费支出决算数比上年决算数减少1.03万元，主要原因：厉行节约，减少经费开支。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1、因公出国（境）情况说明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本单位没有出国（境）开支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2、公务用车购置及运行经费情况说明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本单位没有公务用车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3、公务接待情况说明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公务接待支出3.76万元，国内公务接待50批次，接待385人。接待支出主要用于下面各所来机关开会学习及兄弟单位来本单位考察学习等。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九、关于 2019 年度预算绩效情况说明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shd w:val="clear" w:fill="FFFFFF"/>
        </w:rPr>
        <w:t>(一）绩效管理工作开展情况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bscript"/>
        </w:rPr>
        <w:t>根据《预算绩效管理工作考核办法》文件精神，现将我单位预算绩效管理工作总结如下：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1.加强管理制度建设，把制度建设作为开展绩效管理工作的关键环节，进一步增强支出责任和效率意识，全面加强预算管理，优化资源配置，提高财政资金使用效率和科学精细化管理水平，提高政府执行力和公信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2.全面实施预算项目绩效目标管理，一方面每年对单位申报的预算项目进行全面梳理，加强审核，合理保障，所有项目必须有明细的资金预测；另一方面，完善绩效管理责任，财政部门下达年度预算时，通过规范格式下达绩效目标，单位是执行主体，负责实现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3.积极推进绩效评价，根据绩效评价结果，促进加强支出管理和下年度的预算编审工作。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40"/>
        <w:jc w:val="both"/>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shd w:val="clear" w:fill="FFFFFF"/>
        </w:rPr>
        <w:t>（二）部门决算中项目绩效自评结果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0"/>
        <w:rPr>
          <w:rFonts w:hint="eastAsia" w:ascii="微软雅黑" w:hAnsi="微软雅黑" w:eastAsia="微软雅黑" w:cs="微软雅黑"/>
          <w:b w:val="0"/>
          <w:i w:val="0"/>
          <w:caps w:val="0"/>
          <w:color w:val="000000"/>
          <w:spacing w:val="0"/>
          <w:sz w:val="24"/>
          <w:szCs w:val="24"/>
        </w:rPr>
      </w:pPr>
      <w:r>
        <w:rPr>
          <w:rFonts w:ascii="新宋体" w:hAnsi="新宋体" w:eastAsia="新宋体" w:cs="新宋体"/>
          <w:b w:val="0"/>
          <w:i w:val="0"/>
          <w:caps w:val="0"/>
          <w:color w:val="000000"/>
          <w:spacing w:val="0"/>
          <w:sz w:val="30"/>
          <w:szCs w:val="30"/>
          <w:bdr w:val="none" w:color="auto" w:sz="0" w:space="0"/>
          <w:shd w:val="clear" w:fill="FFFFFF"/>
        </w:rPr>
        <w:t>按照</w:t>
      </w:r>
      <w:r>
        <w:rPr>
          <w:rFonts w:ascii="仿宋_GB2312" w:hAnsi="微软雅黑" w:eastAsia="仿宋_GB2312" w:cs="仿宋_GB2312"/>
          <w:b w:val="0"/>
          <w:i w:val="0"/>
          <w:caps w:val="0"/>
          <w:color w:val="000000"/>
          <w:spacing w:val="0"/>
          <w:sz w:val="30"/>
          <w:szCs w:val="30"/>
          <w:bdr w:val="none" w:color="auto" w:sz="0" w:space="0"/>
          <w:shd w:val="clear" w:fill="FFFFFF"/>
        </w:rPr>
        <w:t>《沅江市财政局关于做好</w:t>
      </w:r>
      <w:r>
        <w:rPr>
          <w:rFonts w:hint="default" w:ascii="仿宋_GB2312" w:hAnsi="微软雅黑" w:eastAsia="仿宋_GB2312" w:cs="仿宋_GB2312"/>
          <w:b w:val="0"/>
          <w:i w:val="0"/>
          <w:caps w:val="0"/>
          <w:color w:val="000000"/>
          <w:spacing w:val="0"/>
          <w:sz w:val="30"/>
          <w:szCs w:val="30"/>
          <w:bdr w:val="none" w:color="auto" w:sz="0" w:space="0"/>
          <w:shd w:val="clear" w:fill="FFFFFF"/>
        </w:rPr>
        <w:t>2019年度预算绩效自评工作的通知》沅财绩【2020】1号文件工作部署，根据财政部《财政支出绩效评价管理暂行办法》、《湖南省预算绩效管理工作规程（试行）的通知》等文件要求，我单位积极组织各个相关股室对2019年度部门预算绩效开展了自评，现将具体情况汇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vertAlign w:val="subscript"/>
          <w:lang w:val="en-US" w:eastAsia="zh-CN" w:bidi="ar"/>
        </w:rPr>
        <w:t>    </w:t>
      </w:r>
      <w:r>
        <w:rPr>
          <w:rFonts w:hint="eastAsia" w:ascii="仿宋" w:hAnsi="仿宋" w:eastAsia="仿宋" w:cs="仿宋"/>
          <w:i w:val="0"/>
          <w:caps w:val="0"/>
          <w:color w:val="000000"/>
          <w:spacing w:val="0"/>
          <w:kern w:val="0"/>
          <w:sz w:val="32"/>
          <w:szCs w:val="32"/>
          <w:bdr w:val="none" w:color="auto" w:sz="0" w:space="0"/>
          <w:shd w:val="clear" w:fill="FFFFFF"/>
          <w:vertAlign w:val="superscript"/>
          <w:lang w:val="en-US" w:eastAsia="zh-CN" w:bidi="ar"/>
        </w:rPr>
        <w:t>本单位2019年专项资金为25万元，由财政拨款，在使用过程中能做到专款专用，主要用于市场卫生维护，市场整治与维修。市场卫生维护于年初1月份就开始实施，分月进行。市场整治与维修于3月份实施，根据市场状况据实进行,目前该项目已实施并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vertAlign w:val="superscript"/>
          <w:lang w:val="en-US" w:eastAsia="zh-CN" w:bidi="ar"/>
        </w:rPr>
        <w:t>    该项目的完成使各个市场保持了良好的卫生状况，市场破损也得到了及时的维修，为经营者创造了良好的市场环境，为居民生活带来了方便。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r>
        <w:rPr>
          <w:rFonts w:hint="eastAsia" w:ascii="楷体" w:hAnsi="楷体" w:eastAsia="楷体" w:cs="楷体"/>
          <w:i w:val="0"/>
          <w:caps w:val="0"/>
          <w:color w:val="000000"/>
          <w:spacing w:val="0"/>
          <w:sz w:val="32"/>
          <w:szCs w:val="32"/>
          <w:bdr w:val="none" w:color="auto" w:sz="0" w:space="0"/>
          <w:shd w:val="clear" w:fill="FFFFFF"/>
        </w:rPr>
        <w:t>（三）以部门为主体开展的重点绩效评价结果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    2019年度本单位没有重点项目，无绩效评价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r>
        <w:rPr>
          <w:rFonts w:hint="eastAsia" w:ascii="楷体" w:hAnsi="楷体" w:eastAsia="楷体" w:cs="楷体"/>
          <w:i w:val="0"/>
          <w:caps w:val="0"/>
          <w:color w:val="000000"/>
          <w:spacing w:val="0"/>
          <w:sz w:val="32"/>
          <w:szCs w:val="32"/>
          <w:bdr w:val="none" w:color="auto" w:sz="0" w:space="0"/>
          <w:shd w:val="clear" w:fill="FFFFFF"/>
        </w:rPr>
        <w:t> （四）预算绩效情况说明</w:t>
      </w: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    2019年度本单位预算绩效申报包括整体支出绩效目标申报和专项资金绩效目标申报。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    整体支出申报资金753.36万元，其中包括财政拨款493.96万元、非税收入100万元和其他资金159.4万元，该笔资金按支出性质又分为基本支出728.36万元和项目支出25万元。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整体支出绩效目标：1.及时发放单位干职工工资和各项福利，维护单位正常运转，保障干职工的基本生活，维护社会的稳定2.同时对各个市场进行及时的整治与维护，为经营者提供良好的环境，保障居民的“菜篮子”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vertAlign w:val="superscript"/>
        </w:rPr>
        <w:t>    专项资金申报25万元，为市场整治专项资金，该笔资金主要用于市场维护与整治工作，按进度支付，专款专用。专项资金绩效目标是搞好市场整治与维护，保持良好的市场秩序，为居民生活提供方便。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2019年本单位收入预算753.36万元，决算收入766.44万元，增加了13.08万元，增长率1.74%，增长变化的主要原因是工资调标。支出预算是753.36万元，支出决算是731.65万元，下降了21.71万元，下降率是2.88%，下降的主要原因是厉行节约，费用开支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本单位性质是差额补助的事业单位，无机关运行经费数据。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本单位2019年度政府采购无数据。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（四）国有资产占用情况。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截至2019年12月31日，本单位国有资产账面价值为1100,45万元，其中房屋及建筑物账面价值是1094.51万元，占资产的99.46%，通用设备账面价值为3.05万元，占资产的0.28%，家具用具账面价值2.89万元，占资产的0.26%.本单位没有车辆，没有单位价值50万元以上通用设备及单价100万元以上专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第四部分</w:t>
      </w: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 </w:t>
      </w:r>
      <w:r>
        <w:rPr>
          <w:rFonts w:hint="eastAsia" w:ascii="宋体" w:hAnsi="宋体" w:eastAsia="宋体" w:cs="宋体"/>
          <w:i w:val="0"/>
          <w:caps w:val="0"/>
          <w:color w:val="000000"/>
          <w:spacing w:val="0"/>
          <w:kern w:val="0"/>
          <w:sz w:val="44"/>
          <w:szCs w:val="44"/>
          <w:bdr w:val="none" w:color="auto" w:sz="0" w:space="0"/>
          <w:shd w:val="clear" w:fill="FFFFFF"/>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一、财政拨款收入：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二、事业收入：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三、经营收入：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四、其他收入：</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指除上述“财政拨款收入” 、 “事业收入” 、“经营收入”等以外的收入。主要是按规定动用的售房收入、存款利息收入等。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五、用事业基金弥补收支差额：</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六、年初结转和结余：</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七、结余分配：</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八、年末结转和结余：</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九、基本支出：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指为保障机构正常运转、完成日常工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十、项目支出：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十一、经营支出：</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十二、“三公”经费：</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十三、机关运行经费：</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2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2020-09-10T15:13:28Z</dcterms:created>
  <dc:creator>Administrator</dc:creator>
  <cp:lastModifiedBy>文虚空圣</cp:lastModifiedBy>
  <dcterms:modified xsi:type="dcterms:W3CDTF">2020-09-10T15:14:15Z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