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466C7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466C7"/>
          <w:spacing w:val="0"/>
          <w:sz w:val="42"/>
          <w:szCs w:val="42"/>
          <w:bdr w:val="none" w:color="auto" w:sz="0" w:space="0"/>
          <w:shd w:val="clear" w:fill="FFFFFF"/>
        </w:rPr>
        <w:t>2019年沅江市交通运输局部门决算公开说明</w:t>
      </w:r>
    </w:p>
    <w:p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720" w:right="0" w:hanging="720"/>
        <w:jc w:val="both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ascii="Times New Roman" w:hAnsi="Times New Roman" w:eastAsia="仿宋" w:cs="Times New Roman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2019年沅江市交通运输局部门决算公开说明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720" w:right="0" w:hanging="7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2019年度收入支出决算公开表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三、2019年度收入决算公开表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四、2019年度支出决算公开表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五、2019年度财政拨款收入支出决算公开表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六、2019年度一般公共预算财政拨款收入支出决算公开表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七、2019年度一般公共预算财政拨款基本支出决算公开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2020-09-10T12:45:22Z</dcterms:created>
  <dc:creator>Administrator</dc:creator>
  <cp:lastModifiedBy>文虚空圣</cp:lastModifiedBy>
  <dcterms:modified xsi:type="dcterms:W3CDTF">2020-09-10T12:45:46Z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